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380365884"/>
        <w:docPartObj>
          <w:docPartGallery w:val="Cover Pages"/>
          <w:docPartUnique/>
        </w:docPartObj>
      </w:sdtPr>
      <w:sdtEndPr>
        <w:rPr>
          <w:rFonts w:asciiTheme="minorHAnsi" w:eastAsiaTheme="minorHAnsi" w:hAnsiTheme="minorHAnsi" w:cstheme="minorBidi"/>
          <w:b/>
          <w:color w:val="1F497D" w:themeColor="text2"/>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AE3B02" w14:paraId="56EE554A" w14:textId="77777777">
            <w:tc>
              <w:tcPr>
                <w:tcW w:w="7672" w:type="dxa"/>
                <w:tcMar>
                  <w:top w:w="216" w:type="dxa"/>
                  <w:left w:w="115" w:type="dxa"/>
                  <w:bottom w:w="216" w:type="dxa"/>
                  <w:right w:w="115" w:type="dxa"/>
                </w:tcMar>
              </w:tcPr>
              <w:p w14:paraId="56EE5549" w14:textId="77777777" w:rsidR="00AE3B02" w:rsidRDefault="00AE3B02" w:rsidP="00AE3B02">
                <w:pPr>
                  <w:pStyle w:val="NoSpacing"/>
                  <w:rPr>
                    <w:rFonts w:asciiTheme="majorHAnsi" w:eastAsiaTheme="majorEastAsia" w:hAnsiTheme="majorHAnsi" w:cstheme="majorBidi"/>
                  </w:rPr>
                </w:pPr>
              </w:p>
            </w:tc>
          </w:tr>
          <w:tr w:rsidR="00AE3B02" w14:paraId="56EE554C"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6EE554B" w14:textId="77777777" w:rsidR="00AE3B02" w:rsidRDefault="00AE3B02" w:rsidP="00AE3B0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Eesti elukestva õppe strateegia 2020</w:t>
                    </w:r>
                  </w:p>
                </w:sdtContent>
              </w:sdt>
            </w:tc>
          </w:tr>
          <w:tr w:rsidR="00AE3B02" w14:paraId="56EE554E"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6EE554D" w14:textId="77777777" w:rsidR="00AE3B02" w:rsidRDefault="0056792D" w:rsidP="00153300">
                    <w:pPr>
                      <w:pStyle w:val="NoSpacing"/>
                      <w:rPr>
                        <w:rFonts w:asciiTheme="majorHAnsi" w:eastAsiaTheme="majorEastAsia" w:hAnsiTheme="majorHAnsi" w:cstheme="majorBidi"/>
                      </w:rPr>
                    </w:pPr>
                    <w:r>
                      <w:rPr>
                        <w:rFonts w:asciiTheme="majorHAnsi" w:eastAsiaTheme="majorEastAsia" w:hAnsiTheme="majorHAnsi" w:cstheme="majorBidi"/>
                      </w:rPr>
                      <w:t>Projekt 24</w:t>
                    </w:r>
                    <w:r w:rsidR="00291C1A">
                      <w:rPr>
                        <w:rFonts w:asciiTheme="majorHAnsi" w:eastAsiaTheme="majorEastAsia" w:hAnsiTheme="majorHAnsi" w:cstheme="majorBidi"/>
                      </w:rPr>
                      <w:t>.01.2014</w:t>
                    </w:r>
                  </w:p>
                </w:tc>
              </w:sdtContent>
            </w:sdt>
          </w:tr>
        </w:tbl>
        <w:p w14:paraId="56EE554F" w14:textId="77777777" w:rsidR="00AE3B02" w:rsidRDefault="00AE3B02"/>
        <w:p w14:paraId="56EE5550" w14:textId="77777777" w:rsidR="00AE3B02" w:rsidRDefault="00AE3B02"/>
        <w:tbl>
          <w:tblPr>
            <w:tblpPr w:leftFromText="187" w:rightFromText="187" w:horzAnchor="margin" w:tblpXSpec="center" w:tblpYSpec="bottom"/>
            <w:tblW w:w="4000" w:type="pct"/>
            <w:tblLook w:val="04A0" w:firstRow="1" w:lastRow="0" w:firstColumn="1" w:lastColumn="0" w:noHBand="0" w:noVBand="1"/>
          </w:tblPr>
          <w:tblGrid>
            <w:gridCol w:w="7442"/>
          </w:tblGrid>
          <w:tr w:rsidR="00AE3B02" w14:paraId="56EE5554" w14:textId="77777777">
            <w:tc>
              <w:tcPr>
                <w:tcW w:w="7672" w:type="dxa"/>
                <w:tcMar>
                  <w:top w:w="216" w:type="dxa"/>
                  <w:left w:w="115" w:type="dxa"/>
                  <w:bottom w:w="216" w:type="dxa"/>
                  <w:right w:w="115" w:type="dxa"/>
                </w:tcMar>
              </w:tcPr>
              <w:p w14:paraId="56EE5551" w14:textId="77777777" w:rsidR="00AE3B02" w:rsidRPr="00AE3B02" w:rsidRDefault="00AE5D61" w:rsidP="00AE3B02">
                <w:pPr>
                  <w:pStyle w:val="NoSpacing"/>
                  <w:jc w:val="center"/>
                  <w:rPr>
                    <w:color w:val="4F81BD" w:themeColor="accent1"/>
                    <w:sz w:val="32"/>
                    <w:szCs w:val="32"/>
                  </w:rPr>
                </w:pPr>
                <w:r>
                  <w:rPr>
                    <w:color w:val="4F81BD" w:themeColor="accent1"/>
                    <w:sz w:val="32"/>
                    <w:szCs w:val="32"/>
                  </w:rPr>
                  <w:t>Tallinn 2014</w:t>
                </w:r>
              </w:p>
              <w:p w14:paraId="56EE5552" w14:textId="77777777" w:rsidR="00AE3B02" w:rsidRDefault="00AE3B02">
                <w:pPr>
                  <w:pStyle w:val="NoSpacing"/>
                  <w:rPr>
                    <w:color w:val="4F81BD" w:themeColor="accent1"/>
                  </w:rPr>
                </w:pPr>
              </w:p>
              <w:p w14:paraId="56EE5553" w14:textId="77777777" w:rsidR="00AE3B02" w:rsidRDefault="00AE3B02">
                <w:pPr>
                  <w:pStyle w:val="NoSpacing"/>
                  <w:rPr>
                    <w:color w:val="4F81BD" w:themeColor="accent1"/>
                  </w:rPr>
                </w:pPr>
              </w:p>
            </w:tc>
          </w:tr>
        </w:tbl>
        <w:p w14:paraId="56EE5555" w14:textId="77777777" w:rsidR="00AE3B02" w:rsidRDefault="00AE3B02"/>
        <w:p w14:paraId="56EE5556" w14:textId="77777777" w:rsidR="00AE3B02" w:rsidRDefault="00AE3B02">
          <w:pPr>
            <w:rPr>
              <w:b/>
              <w:color w:val="1F497D" w:themeColor="text2"/>
              <w:sz w:val="28"/>
              <w:szCs w:val="28"/>
            </w:rPr>
          </w:pPr>
          <w:r>
            <w:rPr>
              <w:b/>
              <w:color w:val="1F497D" w:themeColor="text2"/>
              <w:sz w:val="28"/>
              <w:szCs w:val="28"/>
            </w:rPr>
            <w:br w:type="page"/>
          </w:r>
        </w:p>
      </w:sdtContent>
    </w:sdt>
    <w:p w14:paraId="56EE5557" w14:textId="77777777" w:rsidR="0016656F" w:rsidRDefault="0016656F">
      <w:pPr>
        <w:rPr>
          <w:b/>
          <w:color w:val="1F497D" w:themeColor="text2"/>
          <w:sz w:val="28"/>
          <w:szCs w:val="28"/>
        </w:rPr>
      </w:pPr>
    </w:p>
    <w:sdt>
      <w:sdtPr>
        <w:rPr>
          <w:rFonts w:asciiTheme="minorHAnsi" w:eastAsiaTheme="minorHAnsi" w:hAnsiTheme="minorHAnsi" w:cstheme="minorBidi"/>
          <w:b w:val="0"/>
          <w:bCs w:val="0"/>
          <w:color w:val="auto"/>
          <w:sz w:val="22"/>
          <w:szCs w:val="22"/>
          <w:lang w:val="et-EE" w:eastAsia="en-US"/>
        </w:rPr>
        <w:id w:val="-298070917"/>
        <w:docPartObj>
          <w:docPartGallery w:val="Table of Contents"/>
          <w:docPartUnique/>
        </w:docPartObj>
      </w:sdtPr>
      <w:sdtEndPr>
        <w:rPr>
          <w:noProof/>
        </w:rPr>
      </w:sdtEndPr>
      <w:sdtContent>
        <w:p w14:paraId="56EE5558" w14:textId="77777777" w:rsidR="0053311E" w:rsidRDefault="0053311E">
          <w:pPr>
            <w:pStyle w:val="TOCHeading"/>
          </w:pPr>
          <w:r>
            <w:t>Sisukord</w:t>
          </w:r>
        </w:p>
        <w:p w14:paraId="56EE5559" w14:textId="77777777" w:rsidR="0053311E" w:rsidRPr="0053311E" w:rsidRDefault="0053311E" w:rsidP="0053311E">
          <w:pPr>
            <w:rPr>
              <w:lang w:val="en-US" w:eastAsia="ja-JP"/>
            </w:rPr>
          </w:pPr>
        </w:p>
        <w:p w14:paraId="56EE555A" w14:textId="77777777" w:rsidR="00AD3F48" w:rsidRDefault="0053311E">
          <w:pPr>
            <w:pStyle w:val="TOC1"/>
            <w:tabs>
              <w:tab w:val="right" w:leader="dot" w:pos="9062"/>
            </w:tabs>
            <w:rPr>
              <w:rFonts w:eastAsiaTheme="minorEastAsia"/>
              <w:noProof/>
              <w:lang w:val="en-GB" w:eastAsia="en-GB"/>
            </w:rPr>
          </w:pPr>
          <w:r>
            <w:fldChar w:fldCharType="begin"/>
          </w:r>
          <w:r>
            <w:instrText xml:space="preserve"> TOC \o "1-3" \h \z \u </w:instrText>
          </w:r>
          <w:r>
            <w:fldChar w:fldCharType="separate"/>
          </w:r>
          <w:hyperlink w:anchor="_Toc376952242" w:history="1">
            <w:r w:rsidR="00AD3F48" w:rsidRPr="000C2EE0">
              <w:rPr>
                <w:rStyle w:val="Hyperlink"/>
                <w:noProof/>
              </w:rPr>
              <w:t>Sissejuhatus</w:t>
            </w:r>
            <w:r w:rsidR="00AD3F48">
              <w:rPr>
                <w:noProof/>
                <w:webHidden/>
              </w:rPr>
              <w:tab/>
            </w:r>
            <w:r w:rsidR="00AD3F48">
              <w:rPr>
                <w:noProof/>
                <w:webHidden/>
              </w:rPr>
              <w:fldChar w:fldCharType="begin"/>
            </w:r>
            <w:r w:rsidR="00AD3F48">
              <w:rPr>
                <w:noProof/>
                <w:webHidden/>
              </w:rPr>
              <w:instrText xml:space="preserve"> PAGEREF _Toc376952242 \h </w:instrText>
            </w:r>
            <w:r w:rsidR="00AD3F48">
              <w:rPr>
                <w:noProof/>
                <w:webHidden/>
              </w:rPr>
            </w:r>
            <w:r w:rsidR="00AD3F48">
              <w:rPr>
                <w:noProof/>
                <w:webHidden/>
              </w:rPr>
              <w:fldChar w:fldCharType="separate"/>
            </w:r>
            <w:r w:rsidR="00C21045">
              <w:rPr>
                <w:noProof/>
                <w:webHidden/>
              </w:rPr>
              <w:t>2</w:t>
            </w:r>
            <w:r w:rsidR="00AD3F48">
              <w:rPr>
                <w:noProof/>
                <w:webHidden/>
              </w:rPr>
              <w:fldChar w:fldCharType="end"/>
            </w:r>
          </w:hyperlink>
        </w:p>
        <w:p w14:paraId="56EE555B" w14:textId="77777777" w:rsidR="00AD3F48" w:rsidRDefault="00097F72">
          <w:pPr>
            <w:pStyle w:val="TOC1"/>
            <w:tabs>
              <w:tab w:val="right" w:leader="dot" w:pos="9062"/>
            </w:tabs>
            <w:rPr>
              <w:rFonts w:eastAsiaTheme="minorEastAsia"/>
              <w:noProof/>
              <w:lang w:val="en-GB" w:eastAsia="en-GB"/>
            </w:rPr>
          </w:pPr>
          <w:hyperlink w:anchor="_Toc376952243" w:history="1">
            <w:r w:rsidR="00AD3F48" w:rsidRPr="000C2EE0">
              <w:rPr>
                <w:rStyle w:val="Hyperlink"/>
                <w:noProof/>
              </w:rPr>
              <w:t>Üldeesmärk ja lähtealused</w:t>
            </w:r>
            <w:r w:rsidR="00AD3F48">
              <w:rPr>
                <w:noProof/>
                <w:webHidden/>
              </w:rPr>
              <w:tab/>
            </w:r>
            <w:r w:rsidR="00AD3F48">
              <w:rPr>
                <w:noProof/>
                <w:webHidden/>
              </w:rPr>
              <w:fldChar w:fldCharType="begin"/>
            </w:r>
            <w:r w:rsidR="00AD3F48">
              <w:rPr>
                <w:noProof/>
                <w:webHidden/>
              </w:rPr>
              <w:instrText xml:space="preserve"> PAGEREF _Toc376952243 \h </w:instrText>
            </w:r>
            <w:r w:rsidR="00AD3F48">
              <w:rPr>
                <w:noProof/>
                <w:webHidden/>
              </w:rPr>
            </w:r>
            <w:r w:rsidR="00AD3F48">
              <w:rPr>
                <w:noProof/>
                <w:webHidden/>
              </w:rPr>
              <w:fldChar w:fldCharType="separate"/>
            </w:r>
            <w:r w:rsidR="00C21045">
              <w:rPr>
                <w:noProof/>
                <w:webHidden/>
              </w:rPr>
              <w:t>2</w:t>
            </w:r>
            <w:r w:rsidR="00AD3F48">
              <w:rPr>
                <w:noProof/>
                <w:webHidden/>
              </w:rPr>
              <w:fldChar w:fldCharType="end"/>
            </w:r>
          </w:hyperlink>
        </w:p>
        <w:p w14:paraId="56EE555C" w14:textId="77777777" w:rsidR="00AD3F48" w:rsidRDefault="00097F72">
          <w:pPr>
            <w:pStyle w:val="TOC1"/>
            <w:tabs>
              <w:tab w:val="right" w:leader="dot" w:pos="9062"/>
            </w:tabs>
            <w:rPr>
              <w:rFonts w:eastAsiaTheme="minorEastAsia"/>
              <w:noProof/>
              <w:lang w:val="en-GB" w:eastAsia="en-GB"/>
            </w:rPr>
          </w:pPr>
          <w:hyperlink w:anchor="_Toc376952244" w:history="1">
            <w:r w:rsidR="00AD3F48" w:rsidRPr="000C2EE0">
              <w:rPr>
                <w:rStyle w:val="Hyperlink"/>
                <w:noProof/>
              </w:rPr>
              <w:t>Visioon ja strateegilised eesmärgid 2020</w:t>
            </w:r>
            <w:r w:rsidR="00AD3F48">
              <w:rPr>
                <w:noProof/>
                <w:webHidden/>
              </w:rPr>
              <w:tab/>
            </w:r>
            <w:r w:rsidR="00AD3F48">
              <w:rPr>
                <w:noProof/>
                <w:webHidden/>
              </w:rPr>
              <w:fldChar w:fldCharType="begin"/>
            </w:r>
            <w:r w:rsidR="00AD3F48">
              <w:rPr>
                <w:noProof/>
                <w:webHidden/>
              </w:rPr>
              <w:instrText xml:space="preserve"> PAGEREF _Toc376952244 \h </w:instrText>
            </w:r>
            <w:r w:rsidR="00AD3F48">
              <w:rPr>
                <w:noProof/>
                <w:webHidden/>
              </w:rPr>
            </w:r>
            <w:r w:rsidR="00AD3F48">
              <w:rPr>
                <w:noProof/>
                <w:webHidden/>
              </w:rPr>
              <w:fldChar w:fldCharType="separate"/>
            </w:r>
            <w:r w:rsidR="00C21045">
              <w:rPr>
                <w:noProof/>
                <w:webHidden/>
              </w:rPr>
              <w:t>5</w:t>
            </w:r>
            <w:r w:rsidR="00AD3F48">
              <w:rPr>
                <w:noProof/>
                <w:webHidden/>
              </w:rPr>
              <w:fldChar w:fldCharType="end"/>
            </w:r>
          </w:hyperlink>
        </w:p>
        <w:p w14:paraId="56EE555D" w14:textId="77777777" w:rsidR="00AD3F48" w:rsidRDefault="00097F72">
          <w:pPr>
            <w:pStyle w:val="TOC1"/>
            <w:tabs>
              <w:tab w:val="right" w:leader="dot" w:pos="9062"/>
            </w:tabs>
            <w:rPr>
              <w:rFonts w:eastAsiaTheme="minorEastAsia"/>
              <w:noProof/>
              <w:lang w:val="en-GB" w:eastAsia="en-GB"/>
            </w:rPr>
          </w:pPr>
          <w:hyperlink w:anchor="_Toc376952245" w:history="1">
            <w:r w:rsidR="00AD3F48" w:rsidRPr="000C2EE0">
              <w:rPr>
                <w:rStyle w:val="Hyperlink"/>
                <w:noProof/>
              </w:rPr>
              <w:t>Olukorra analüüs: elukestva õppe süsteemi edusammud ja kitsaskohad</w:t>
            </w:r>
            <w:r w:rsidR="00AD3F48">
              <w:rPr>
                <w:noProof/>
                <w:webHidden/>
              </w:rPr>
              <w:tab/>
            </w:r>
            <w:r w:rsidR="00AD3F48">
              <w:rPr>
                <w:noProof/>
                <w:webHidden/>
              </w:rPr>
              <w:fldChar w:fldCharType="begin"/>
            </w:r>
            <w:r w:rsidR="00AD3F48">
              <w:rPr>
                <w:noProof/>
                <w:webHidden/>
              </w:rPr>
              <w:instrText xml:space="preserve"> PAGEREF _Toc376952245 \h </w:instrText>
            </w:r>
            <w:r w:rsidR="00AD3F48">
              <w:rPr>
                <w:noProof/>
                <w:webHidden/>
              </w:rPr>
            </w:r>
            <w:r w:rsidR="00AD3F48">
              <w:rPr>
                <w:noProof/>
                <w:webHidden/>
              </w:rPr>
              <w:fldChar w:fldCharType="separate"/>
            </w:r>
            <w:r w:rsidR="00C21045">
              <w:rPr>
                <w:noProof/>
                <w:webHidden/>
              </w:rPr>
              <w:t>5</w:t>
            </w:r>
            <w:r w:rsidR="00AD3F48">
              <w:rPr>
                <w:noProof/>
                <w:webHidden/>
              </w:rPr>
              <w:fldChar w:fldCharType="end"/>
            </w:r>
          </w:hyperlink>
        </w:p>
        <w:p w14:paraId="56EE555E" w14:textId="77777777" w:rsidR="00AD3F48" w:rsidRDefault="00097F72">
          <w:pPr>
            <w:pStyle w:val="TOC1"/>
            <w:tabs>
              <w:tab w:val="right" w:leader="dot" w:pos="9062"/>
            </w:tabs>
            <w:rPr>
              <w:rFonts w:eastAsiaTheme="minorEastAsia"/>
              <w:noProof/>
              <w:lang w:val="en-GB" w:eastAsia="en-GB"/>
            </w:rPr>
          </w:pPr>
          <w:hyperlink w:anchor="_Toc376952246" w:history="1">
            <w:r w:rsidR="00AD3F48" w:rsidRPr="000C2EE0">
              <w:rPr>
                <w:rStyle w:val="Hyperlink"/>
                <w:noProof/>
              </w:rPr>
              <w:t>Strateegilised eesmärgid ja meetmed</w:t>
            </w:r>
            <w:r w:rsidR="00AD3F48">
              <w:rPr>
                <w:noProof/>
                <w:webHidden/>
              </w:rPr>
              <w:tab/>
            </w:r>
            <w:r w:rsidR="00AD3F48">
              <w:rPr>
                <w:noProof/>
                <w:webHidden/>
              </w:rPr>
              <w:fldChar w:fldCharType="begin"/>
            </w:r>
            <w:r w:rsidR="00AD3F48">
              <w:rPr>
                <w:noProof/>
                <w:webHidden/>
              </w:rPr>
              <w:instrText xml:space="preserve"> PAGEREF _Toc376952246 \h </w:instrText>
            </w:r>
            <w:r w:rsidR="00AD3F48">
              <w:rPr>
                <w:noProof/>
                <w:webHidden/>
              </w:rPr>
            </w:r>
            <w:r w:rsidR="00AD3F48">
              <w:rPr>
                <w:noProof/>
                <w:webHidden/>
              </w:rPr>
              <w:fldChar w:fldCharType="separate"/>
            </w:r>
            <w:r w:rsidR="00C21045">
              <w:rPr>
                <w:noProof/>
                <w:webHidden/>
              </w:rPr>
              <w:t>7</w:t>
            </w:r>
            <w:r w:rsidR="00AD3F48">
              <w:rPr>
                <w:noProof/>
                <w:webHidden/>
              </w:rPr>
              <w:fldChar w:fldCharType="end"/>
            </w:r>
          </w:hyperlink>
        </w:p>
        <w:p w14:paraId="56EE555F" w14:textId="77777777" w:rsidR="00AD3F48" w:rsidRDefault="00097F72">
          <w:pPr>
            <w:pStyle w:val="TOC2"/>
            <w:tabs>
              <w:tab w:val="left" w:pos="660"/>
              <w:tab w:val="right" w:leader="dot" w:pos="9062"/>
            </w:tabs>
            <w:rPr>
              <w:rFonts w:eastAsiaTheme="minorEastAsia"/>
              <w:noProof/>
              <w:lang w:val="en-GB" w:eastAsia="en-GB"/>
            </w:rPr>
          </w:pPr>
          <w:hyperlink w:anchor="_Toc376952247" w:history="1">
            <w:r w:rsidR="00AD3F48" w:rsidRPr="000C2EE0">
              <w:rPr>
                <w:rStyle w:val="Hyperlink"/>
                <w:noProof/>
              </w:rPr>
              <w:t>1.</w:t>
            </w:r>
            <w:r w:rsidR="00AD3F48">
              <w:rPr>
                <w:rFonts w:eastAsiaTheme="minorEastAsia"/>
                <w:noProof/>
                <w:lang w:val="en-GB" w:eastAsia="en-GB"/>
              </w:rPr>
              <w:tab/>
            </w:r>
            <w:r w:rsidR="00AD3F48" w:rsidRPr="000C2EE0">
              <w:rPr>
                <w:rStyle w:val="Hyperlink"/>
                <w:noProof/>
              </w:rPr>
              <w:t>Muutunud õpikäsitus</w:t>
            </w:r>
            <w:r w:rsidR="00AD3F48">
              <w:rPr>
                <w:noProof/>
                <w:webHidden/>
              </w:rPr>
              <w:tab/>
            </w:r>
            <w:r w:rsidR="00AD3F48">
              <w:rPr>
                <w:noProof/>
                <w:webHidden/>
              </w:rPr>
              <w:fldChar w:fldCharType="begin"/>
            </w:r>
            <w:r w:rsidR="00AD3F48">
              <w:rPr>
                <w:noProof/>
                <w:webHidden/>
              </w:rPr>
              <w:instrText xml:space="preserve"> PAGEREF _Toc376952247 \h </w:instrText>
            </w:r>
            <w:r w:rsidR="00AD3F48">
              <w:rPr>
                <w:noProof/>
                <w:webHidden/>
              </w:rPr>
            </w:r>
            <w:r w:rsidR="00AD3F48">
              <w:rPr>
                <w:noProof/>
                <w:webHidden/>
              </w:rPr>
              <w:fldChar w:fldCharType="separate"/>
            </w:r>
            <w:r w:rsidR="00C21045">
              <w:rPr>
                <w:noProof/>
                <w:webHidden/>
              </w:rPr>
              <w:t>7</w:t>
            </w:r>
            <w:r w:rsidR="00AD3F48">
              <w:rPr>
                <w:noProof/>
                <w:webHidden/>
              </w:rPr>
              <w:fldChar w:fldCharType="end"/>
            </w:r>
          </w:hyperlink>
        </w:p>
        <w:p w14:paraId="56EE5560" w14:textId="77777777" w:rsidR="00AD3F48" w:rsidRDefault="00097F72">
          <w:pPr>
            <w:pStyle w:val="TOC2"/>
            <w:tabs>
              <w:tab w:val="left" w:pos="660"/>
              <w:tab w:val="right" w:leader="dot" w:pos="9062"/>
            </w:tabs>
            <w:rPr>
              <w:rFonts w:eastAsiaTheme="minorEastAsia"/>
              <w:noProof/>
              <w:lang w:val="en-GB" w:eastAsia="en-GB"/>
            </w:rPr>
          </w:pPr>
          <w:hyperlink w:anchor="_Toc376952248" w:history="1">
            <w:r w:rsidR="00AD3F48" w:rsidRPr="000C2EE0">
              <w:rPr>
                <w:rStyle w:val="Hyperlink"/>
                <w:noProof/>
              </w:rPr>
              <w:t>2.</w:t>
            </w:r>
            <w:r w:rsidR="00AD3F48">
              <w:rPr>
                <w:rFonts w:eastAsiaTheme="minorEastAsia"/>
                <w:noProof/>
                <w:lang w:val="en-GB" w:eastAsia="en-GB"/>
              </w:rPr>
              <w:tab/>
            </w:r>
            <w:r w:rsidR="00AD3F48" w:rsidRPr="000C2EE0">
              <w:rPr>
                <w:rStyle w:val="Hyperlink"/>
                <w:noProof/>
              </w:rPr>
              <w:t>Pädevad ja motiveeritud õpetajad ning koolijuhid</w:t>
            </w:r>
            <w:r w:rsidR="00AD3F48">
              <w:rPr>
                <w:noProof/>
                <w:webHidden/>
              </w:rPr>
              <w:tab/>
            </w:r>
            <w:r w:rsidR="00AD3F48">
              <w:rPr>
                <w:noProof/>
                <w:webHidden/>
              </w:rPr>
              <w:fldChar w:fldCharType="begin"/>
            </w:r>
            <w:r w:rsidR="00AD3F48">
              <w:rPr>
                <w:noProof/>
                <w:webHidden/>
              </w:rPr>
              <w:instrText xml:space="preserve"> PAGEREF _Toc376952248 \h </w:instrText>
            </w:r>
            <w:r w:rsidR="00AD3F48">
              <w:rPr>
                <w:noProof/>
                <w:webHidden/>
              </w:rPr>
            </w:r>
            <w:r w:rsidR="00AD3F48">
              <w:rPr>
                <w:noProof/>
                <w:webHidden/>
              </w:rPr>
              <w:fldChar w:fldCharType="separate"/>
            </w:r>
            <w:r w:rsidR="00C21045">
              <w:rPr>
                <w:noProof/>
                <w:webHidden/>
              </w:rPr>
              <w:t>11</w:t>
            </w:r>
            <w:r w:rsidR="00AD3F48">
              <w:rPr>
                <w:noProof/>
                <w:webHidden/>
              </w:rPr>
              <w:fldChar w:fldCharType="end"/>
            </w:r>
          </w:hyperlink>
        </w:p>
        <w:p w14:paraId="56EE5561" w14:textId="77777777" w:rsidR="00AD3F48" w:rsidRDefault="00097F72">
          <w:pPr>
            <w:pStyle w:val="TOC2"/>
            <w:tabs>
              <w:tab w:val="left" w:pos="660"/>
              <w:tab w:val="right" w:leader="dot" w:pos="9062"/>
            </w:tabs>
            <w:rPr>
              <w:rFonts w:eastAsiaTheme="minorEastAsia"/>
              <w:noProof/>
              <w:lang w:val="en-GB" w:eastAsia="en-GB"/>
            </w:rPr>
          </w:pPr>
          <w:hyperlink w:anchor="_Toc376952249" w:history="1">
            <w:r w:rsidR="00AD3F48" w:rsidRPr="000C2EE0">
              <w:rPr>
                <w:rStyle w:val="Hyperlink"/>
                <w:noProof/>
              </w:rPr>
              <w:t>3.</w:t>
            </w:r>
            <w:r w:rsidR="00AD3F48">
              <w:rPr>
                <w:rFonts w:eastAsiaTheme="minorEastAsia"/>
                <w:noProof/>
                <w:lang w:val="en-GB" w:eastAsia="en-GB"/>
              </w:rPr>
              <w:tab/>
            </w:r>
            <w:r w:rsidR="00AD3F48" w:rsidRPr="000C2EE0">
              <w:rPr>
                <w:rStyle w:val="Hyperlink"/>
                <w:noProof/>
              </w:rPr>
              <w:t>Elukestva õppe võimaluste ja töömaailma vajaduste vastavus</w:t>
            </w:r>
            <w:r w:rsidR="00AD3F48">
              <w:rPr>
                <w:noProof/>
                <w:webHidden/>
              </w:rPr>
              <w:tab/>
            </w:r>
            <w:r w:rsidR="00AD3F48">
              <w:rPr>
                <w:noProof/>
                <w:webHidden/>
              </w:rPr>
              <w:fldChar w:fldCharType="begin"/>
            </w:r>
            <w:r w:rsidR="00AD3F48">
              <w:rPr>
                <w:noProof/>
                <w:webHidden/>
              </w:rPr>
              <w:instrText xml:space="preserve"> PAGEREF _Toc376952249 \h </w:instrText>
            </w:r>
            <w:r w:rsidR="00AD3F48">
              <w:rPr>
                <w:noProof/>
                <w:webHidden/>
              </w:rPr>
            </w:r>
            <w:r w:rsidR="00AD3F48">
              <w:rPr>
                <w:noProof/>
                <w:webHidden/>
              </w:rPr>
              <w:fldChar w:fldCharType="separate"/>
            </w:r>
            <w:r w:rsidR="00C21045">
              <w:rPr>
                <w:noProof/>
                <w:webHidden/>
              </w:rPr>
              <w:t>12</w:t>
            </w:r>
            <w:r w:rsidR="00AD3F48">
              <w:rPr>
                <w:noProof/>
                <w:webHidden/>
              </w:rPr>
              <w:fldChar w:fldCharType="end"/>
            </w:r>
          </w:hyperlink>
        </w:p>
        <w:p w14:paraId="56EE5562" w14:textId="77777777" w:rsidR="00AD3F48" w:rsidRDefault="00097F72">
          <w:pPr>
            <w:pStyle w:val="TOC2"/>
            <w:tabs>
              <w:tab w:val="left" w:pos="660"/>
              <w:tab w:val="right" w:leader="dot" w:pos="9062"/>
            </w:tabs>
            <w:rPr>
              <w:rFonts w:eastAsiaTheme="minorEastAsia"/>
              <w:noProof/>
              <w:lang w:val="en-GB" w:eastAsia="en-GB"/>
            </w:rPr>
          </w:pPr>
          <w:hyperlink w:anchor="_Toc376952250" w:history="1">
            <w:r w:rsidR="00AD3F48" w:rsidRPr="000C2EE0">
              <w:rPr>
                <w:rStyle w:val="Hyperlink"/>
                <w:noProof/>
              </w:rPr>
              <w:t>4.</w:t>
            </w:r>
            <w:r w:rsidR="00AD3F48">
              <w:rPr>
                <w:rFonts w:eastAsiaTheme="minorEastAsia"/>
                <w:noProof/>
                <w:lang w:val="en-GB" w:eastAsia="en-GB"/>
              </w:rPr>
              <w:tab/>
            </w:r>
            <w:r w:rsidR="00AD3F48" w:rsidRPr="000C2EE0">
              <w:rPr>
                <w:rStyle w:val="Hyperlink"/>
                <w:noProof/>
              </w:rPr>
              <w:t>Digipööre elukestvas õppes</w:t>
            </w:r>
            <w:r w:rsidR="00AD3F48">
              <w:rPr>
                <w:noProof/>
                <w:webHidden/>
              </w:rPr>
              <w:tab/>
            </w:r>
            <w:r w:rsidR="00AD3F48">
              <w:rPr>
                <w:noProof/>
                <w:webHidden/>
              </w:rPr>
              <w:fldChar w:fldCharType="begin"/>
            </w:r>
            <w:r w:rsidR="00AD3F48">
              <w:rPr>
                <w:noProof/>
                <w:webHidden/>
              </w:rPr>
              <w:instrText xml:space="preserve"> PAGEREF _Toc376952250 \h </w:instrText>
            </w:r>
            <w:r w:rsidR="00AD3F48">
              <w:rPr>
                <w:noProof/>
                <w:webHidden/>
              </w:rPr>
            </w:r>
            <w:r w:rsidR="00AD3F48">
              <w:rPr>
                <w:noProof/>
                <w:webHidden/>
              </w:rPr>
              <w:fldChar w:fldCharType="separate"/>
            </w:r>
            <w:r w:rsidR="00C21045">
              <w:rPr>
                <w:noProof/>
                <w:webHidden/>
              </w:rPr>
              <w:t>15</w:t>
            </w:r>
            <w:r w:rsidR="00AD3F48">
              <w:rPr>
                <w:noProof/>
                <w:webHidden/>
              </w:rPr>
              <w:fldChar w:fldCharType="end"/>
            </w:r>
          </w:hyperlink>
        </w:p>
        <w:p w14:paraId="56EE5563" w14:textId="77777777" w:rsidR="00AD3F48" w:rsidRDefault="00097F72">
          <w:pPr>
            <w:pStyle w:val="TOC2"/>
            <w:tabs>
              <w:tab w:val="left" w:pos="660"/>
              <w:tab w:val="right" w:leader="dot" w:pos="9062"/>
            </w:tabs>
            <w:rPr>
              <w:rFonts w:eastAsiaTheme="minorEastAsia"/>
              <w:noProof/>
              <w:lang w:val="en-GB" w:eastAsia="en-GB"/>
            </w:rPr>
          </w:pPr>
          <w:hyperlink w:anchor="_Toc376952251" w:history="1">
            <w:r w:rsidR="00AD3F48" w:rsidRPr="000C2EE0">
              <w:rPr>
                <w:rStyle w:val="Hyperlink"/>
                <w:noProof/>
              </w:rPr>
              <w:t>5.</w:t>
            </w:r>
            <w:r w:rsidR="00AD3F48">
              <w:rPr>
                <w:rFonts w:eastAsiaTheme="minorEastAsia"/>
                <w:noProof/>
                <w:lang w:val="en-GB" w:eastAsia="en-GB"/>
              </w:rPr>
              <w:tab/>
            </w:r>
            <w:r w:rsidR="00AD3F48" w:rsidRPr="000C2EE0">
              <w:rPr>
                <w:rStyle w:val="Hyperlink"/>
                <w:noProof/>
              </w:rPr>
              <w:t>Võrdsed võimalused elukestvaks õppeks ja õppes osaluse kasv ja</w:t>
            </w:r>
            <w:r w:rsidR="00AD3F48">
              <w:rPr>
                <w:noProof/>
                <w:webHidden/>
              </w:rPr>
              <w:tab/>
            </w:r>
            <w:r w:rsidR="00AD3F48">
              <w:rPr>
                <w:noProof/>
                <w:webHidden/>
              </w:rPr>
              <w:fldChar w:fldCharType="begin"/>
            </w:r>
            <w:r w:rsidR="00AD3F48">
              <w:rPr>
                <w:noProof/>
                <w:webHidden/>
              </w:rPr>
              <w:instrText xml:space="preserve"> PAGEREF _Toc376952251 \h </w:instrText>
            </w:r>
            <w:r w:rsidR="00AD3F48">
              <w:rPr>
                <w:noProof/>
                <w:webHidden/>
              </w:rPr>
            </w:r>
            <w:r w:rsidR="00AD3F48">
              <w:rPr>
                <w:noProof/>
                <w:webHidden/>
              </w:rPr>
              <w:fldChar w:fldCharType="separate"/>
            </w:r>
            <w:r w:rsidR="00C21045">
              <w:rPr>
                <w:noProof/>
                <w:webHidden/>
              </w:rPr>
              <w:t>17</w:t>
            </w:r>
            <w:r w:rsidR="00AD3F48">
              <w:rPr>
                <w:noProof/>
                <w:webHidden/>
              </w:rPr>
              <w:fldChar w:fldCharType="end"/>
            </w:r>
          </w:hyperlink>
        </w:p>
        <w:p w14:paraId="56EE5564" w14:textId="77777777" w:rsidR="00AD3F48" w:rsidRDefault="00097F72">
          <w:pPr>
            <w:pStyle w:val="TOC1"/>
            <w:tabs>
              <w:tab w:val="right" w:leader="dot" w:pos="9062"/>
            </w:tabs>
            <w:rPr>
              <w:rFonts w:eastAsiaTheme="minorEastAsia"/>
              <w:noProof/>
              <w:lang w:val="en-GB" w:eastAsia="en-GB"/>
            </w:rPr>
          </w:pPr>
          <w:hyperlink w:anchor="_Toc376952252" w:history="1">
            <w:r w:rsidR="00AD3F48" w:rsidRPr="000C2EE0">
              <w:rPr>
                <w:rStyle w:val="Hyperlink"/>
                <w:noProof/>
              </w:rPr>
              <w:t>Strateegia rakendamine</w:t>
            </w:r>
            <w:r w:rsidR="00AD3F48">
              <w:rPr>
                <w:noProof/>
                <w:webHidden/>
              </w:rPr>
              <w:tab/>
            </w:r>
            <w:r w:rsidR="00AD3F48">
              <w:rPr>
                <w:noProof/>
                <w:webHidden/>
              </w:rPr>
              <w:fldChar w:fldCharType="begin"/>
            </w:r>
            <w:r w:rsidR="00AD3F48">
              <w:rPr>
                <w:noProof/>
                <w:webHidden/>
              </w:rPr>
              <w:instrText xml:space="preserve"> PAGEREF _Toc376952252 \h </w:instrText>
            </w:r>
            <w:r w:rsidR="00AD3F48">
              <w:rPr>
                <w:noProof/>
                <w:webHidden/>
              </w:rPr>
            </w:r>
            <w:r w:rsidR="00AD3F48">
              <w:rPr>
                <w:noProof/>
                <w:webHidden/>
              </w:rPr>
              <w:fldChar w:fldCharType="separate"/>
            </w:r>
            <w:r w:rsidR="00C21045">
              <w:rPr>
                <w:noProof/>
                <w:webHidden/>
              </w:rPr>
              <w:t>19</w:t>
            </w:r>
            <w:r w:rsidR="00AD3F48">
              <w:rPr>
                <w:noProof/>
                <w:webHidden/>
              </w:rPr>
              <w:fldChar w:fldCharType="end"/>
            </w:r>
          </w:hyperlink>
        </w:p>
        <w:p w14:paraId="56EE5565" w14:textId="77777777" w:rsidR="00AD3F48" w:rsidRDefault="00097F72">
          <w:pPr>
            <w:pStyle w:val="TOC1"/>
            <w:tabs>
              <w:tab w:val="right" w:leader="dot" w:pos="9062"/>
            </w:tabs>
            <w:rPr>
              <w:rFonts w:eastAsiaTheme="minorEastAsia"/>
              <w:noProof/>
              <w:lang w:val="en-GB" w:eastAsia="en-GB"/>
            </w:rPr>
          </w:pPr>
          <w:hyperlink w:anchor="_Toc376952253" w:history="1">
            <w:r w:rsidR="00AD3F48" w:rsidRPr="000C2EE0">
              <w:rPr>
                <w:rStyle w:val="Hyperlink"/>
                <w:noProof/>
              </w:rPr>
              <w:t>Lisa 1. Eesmärkide saavutamist mõõtvate näitajate koondtabel</w:t>
            </w:r>
            <w:r w:rsidR="00AD3F48">
              <w:rPr>
                <w:noProof/>
                <w:webHidden/>
              </w:rPr>
              <w:tab/>
            </w:r>
            <w:r w:rsidR="00AD3F48">
              <w:rPr>
                <w:noProof/>
                <w:webHidden/>
              </w:rPr>
              <w:fldChar w:fldCharType="begin"/>
            </w:r>
            <w:r w:rsidR="00AD3F48">
              <w:rPr>
                <w:noProof/>
                <w:webHidden/>
              </w:rPr>
              <w:instrText xml:space="preserve"> PAGEREF _Toc376952253 \h </w:instrText>
            </w:r>
            <w:r w:rsidR="00AD3F48">
              <w:rPr>
                <w:noProof/>
                <w:webHidden/>
              </w:rPr>
            </w:r>
            <w:r w:rsidR="00AD3F48">
              <w:rPr>
                <w:noProof/>
                <w:webHidden/>
              </w:rPr>
              <w:fldChar w:fldCharType="separate"/>
            </w:r>
            <w:r w:rsidR="00C21045">
              <w:rPr>
                <w:noProof/>
                <w:webHidden/>
              </w:rPr>
              <w:t>21</w:t>
            </w:r>
            <w:r w:rsidR="00AD3F48">
              <w:rPr>
                <w:noProof/>
                <w:webHidden/>
              </w:rPr>
              <w:fldChar w:fldCharType="end"/>
            </w:r>
          </w:hyperlink>
        </w:p>
        <w:p w14:paraId="56EE5566" w14:textId="77777777" w:rsidR="00AD3F48" w:rsidRDefault="00097F72">
          <w:pPr>
            <w:pStyle w:val="TOC1"/>
            <w:tabs>
              <w:tab w:val="right" w:leader="dot" w:pos="9062"/>
            </w:tabs>
            <w:rPr>
              <w:rFonts w:eastAsiaTheme="minorEastAsia"/>
              <w:noProof/>
              <w:lang w:val="en-GB" w:eastAsia="en-GB"/>
            </w:rPr>
          </w:pPr>
          <w:hyperlink w:anchor="_Toc376952254" w:history="1">
            <w:r w:rsidR="00AD3F48" w:rsidRPr="000C2EE0">
              <w:rPr>
                <w:rStyle w:val="Hyperlink"/>
                <w:noProof/>
              </w:rPr>
              <w:t>Lisa 2. Mõisted</w:t>
            </w:r>
            <w:r w:rsidR="00AD3F48">
              <w:rPr>
                <w:noProof/>
                <w:webHidden/>
              </w:rPr>
              <w:tab/>
            </w:r>
            <w:r w:rsidR="00AD3F48">
              <w:rPr>
                <w:noProof/>
                <w:webHidden/>
              </w:rPr>
              <w:fldChar w:fldCharType="begin"/>
            </w:r>
            <w:r w:rsidR="00AD3F48">
              <w:rPr>
                <w:noProof/>
                <w:webHidden/>
              </w:rPr>
              <w:instrText xml:space="preserve"> PAGEREF _Toc376952254 \h </w:instrText>
            </w:r>
            <w:r w:rsidR="00AD3F48">
              <w:rPr>
                <w:noProof/>
                <w:webHidden/>
              </w:rPr>
            </w:r>
            <w:r w:rsidR="00AD3F48">
              <w:rPr>
                <w:noProof/>
                <w:webHidden/>
              </w:rPr>
              <w:fldChar w:fldCharType="separate"/>
            </w:r>
            <w:r w:rsidR="00C21045">
              <w:rPr>
                <w:noProof/>
                <w:webHidden/>
              </w:rPr>
              <w:t>24</w:t>
            </w:r>
            <w:r w:rsidR="00AD3F48">
              <w:rPr>
                <w:noProof/>
                <w:webHidden/>
              </w:rPr>
              <w:fldChar w:fldCharType="end"/>
            </w:r>
          </w:hyperlink>
        </w:p>
        <w:p w14:paraId="56EE5567" w14:textId="77777777" w:rsidR="00AD3F48" w:rsidRDefault="00097F72">
          <w:pPr>
            <w:pStyle w:val="TOC1"/>
            <w:tabs>
              <w:tab w:val="right" w:leader="dot" w:pos="9062"/>
            </w:tabs>
            <w:rPr>
              <w:rFonts w:eastAsiaTheme="minorEastAsia"/>
              <w:noProof/>
              <w:lang w:val="en-GB" w:eastAsia="en-GB"/>
            </w:rPr>
          </w:pPr>
          <w:hyperlink w:anchor="_Toc376952255" w:history="1">
            <w:r w:rsidR="007554C8">
              <w:rPr>
                <w:rStyle w:val="Hyperlink"/>
                <w:noProof/>
              </w:rPr>
              <w:t>Lisa 3</w:t>
            </w:r>
            <w:r w:rsidR="00AD3F48" w:rsidRPr="000C2EE0">
              <w:rPr>
                <w:rStyle w:val="Hyperlink"/>
                <w:noProof/>
              </w:rPr>
              <w:t>. Seosed teiste valdkondlike arengukavade ja läbivate teemadega</w:t>
            </w:r>
            <w:r w:rsidR="00AD3F48">
              <w:rPr>
                <w:noProof/>
                <w:webHidden/>
              </w:rPr>
              <w:tab/>
            </w:r>
            <w:r w:rsidR="00AD3F48">
              <w:rPr>
                <w:noProof/>
                <w:webHidden/>
              </w:rPr>
              <w:fldChar w:fldCharType="begin"/>
            </w:r>
            <w:r w:rsidR="00AD3F48">
              <w:rPr>
                <w:noProof/>
                <w:webHidden/>
              </w:rPr>
              <w:instrText xml:space="preserve"> PAGEREF _Toc376952255 \h </w:instrText>
            </w:r>
            <w:r w:rsidR="00AD3F48">
              <w:rPr>
                <w:noProof/>
                <w:webHidden/>
              </w:rPr>
            </w:r>
            <w:r w:rsidR="00AD3F48">
              <w:rPr>
                <w:noProof/>
                <w:webHidden/>
              </w:rPr>
              <w:fldChar w:fldCharType="separate"/>
            </w:r>
            <w:r w:rsidR="00C21045">
              <w:rPr>
                <w:noProof/>
                <w:webHidden/>
              </w:rPr>
              <w:t>26</w:t>
            </w:r>
            <w:r w:rsidR="00AD3F48">
              <w:rPr>
                <w:noProof/>
                <w:webHidden/>
              </w:rPr>
              <w:fldChar w:fldCharType="end"/>
            </w:r>
          </w:hyperlink>
        </w:p>
        <w:p w14:paraId="56EE5568" w14:textId="77777777" w:rsidR="00AD3F48" w:rsidRDefault="00097F72">
          <w:pPr>
            <w:pStyle w:val="TOC1"/>
            <w:tabs>
              <w:tab w:val="right" w:leader="dot" w:pos="9062"/>
            </w:tabs>
            <w:rPr>
              <w:rFonts w:eastAsiaTheme="minorEastAsia"/>
              <w:noProof/>
              <w:lang w:val="en-GB" w:eastAsia="en-GB"/>
            </w:rPr>
          </w:pPr>
          <w:hyperlink w:anchor="_Toc376952256" w:history="1">
            <w:r w:rsidR="007554C8">
              <w:rPr>
                <w:rStyle w:val="Hyperlink"/>
                <w:noProof/>
              </w:rPr>
              <w:t>Lisa 4</w:t>
            </w:r>
            <w:r w:rsidR="00AD3F48" w:rsidRPr="000C2EE0">
              <w:rPr>
                <w:rStyle w:val="Hyperlink"/>
                <w:noProof/>
              </w:rPr>
              <w:t>. Strateegia maksumuse prognoos</w:t>
            </w:r>
            <w:r w:rsidR="00AD3F48">
              <w:rPr>
                <w:noProof/>
                <w:webHidden/>
              </w:rPr>
              <w:tab/>
            </w:r>
            <w:r w:rsidR="00AD3F48">
              <w:rPr>
                <w:noProof/>
                <w:webHidden/>
              </w:rPr>
              <w:fldChar w:fldCharType="begin"/>
            </w:r>
            <w:r w:rsidR="00AD3F48">
              <w:rPr>
                <w:noProof/>
                <w:webHidden/>
              </w:rPr>
              <w:instrText xml:space="preserve"> PAGEREF _Toc376952256 \h </w:instrText>
            </w:r>
            <w:r w:rsidR="00AD3F48">
              <w:rPr>
                <w:noProof/>
                <w:webHidden/>
              </w:rPr>
            </w:r>
            <w:r w:rsidR="00AD3F48">
              <w:rPr>
                <w:noProof/>
                <w:webHidden/>
              </w:rPr>
              <w:fldChar w:fldCharType="separate"/>
            </w:r>
            <w:r w:rsidR="00C21045">
              <w:rPr>
                <w:noProof/>
                <w:webHidden/>
              </w:rPr>
              <w:t>30</w:t>
            </w:r>
            <w:r w:rsidR="00AD3F48">
              <w:rPr>
                <w:noProof/>
                <w:webHidden/>
              </w:rPr>
              <w:fldChar w:fldCharType="end"/>
            </w:r>
          </w:hyperlink>
        </w:p>
        <w:p w14:paraId="56EE5569" w14:textId="77777777" w:rsidR="0053311E" w:rsidRDefault="0053311E">
          <w:r>
            <w:rPr>
              <w:b/>
              <w:bCs/>
              <w:noProof/>
            </w:rPr>
            <w:fldChar w:fldCharType="end"/>
          </w:r>
        </w:p>
      </w:sdtContent>
    </w:sdt>
    <w:p w14:paraId="56EE556A" w14:textId="77777777" w:rsidR="00A8536E" w:rsidRDefault="00A8536E" w:rsidP="00AA3967">
      <w:pPr>
        <w:ind w:left="708"/>
        <w:rPr>
          <w:b/>
          <w:color w:val="1F497D" w:themeColor="text2"/>
          <w:sz w:val="28"/>
          <w:szCs w:val="28"/>
        </w:rPr>
      </w:pPr>
      <w:r>
        <w:rPr>
          <w:b/>
          <w:color w:val="1F497D" w:themeColor="text2"/>
          <w:sz w:val="28"/>
          <w:szCs w:val="28"/>
        </w:rPr>
        <w:br w:type="page"/>
      </w:r>
    </w:p>
    <w:p w14:paraId="56EE556B" w14:textId="77777777" w:rsidR="00704922" w:rsidRPr="0016656F" w:rsidRDefault="00704922" w:rsidP="0053311E">
      <w:pPr>
        <w:pStyle w:val="Heading1"/>
      </w:pPr>
      <w:bookmarkStart w:id="1" w:name="_Toc376952242"/>
      <w:r w:rsidRPr="0016656F">
        <w:lastRenderedPageBreak/>
        <w:t>Sissejuhatus</w:t>
      </w:r>
      <w:bookmarkEnd w:id="1"/>
    </w:p>
    <w:p w14:paraId="56EE556C" w14:textId="77777777" w:rsidR="00E3095A" w:rsidRDefault="00E3095A" w:rsidP="00145C83">
      <w:pPr>
        <w:autoSpaceDE w:val="0"/>
        <w:autoSpaceDN w:val="0"/>
        <w:adjustRightInd w:val="0"/>
        <w:spacing w:after="0" w:line="240" w:lineRule="auto"/>
      </w:pPr>
    </w:p>
    <w:p w14:paraId="56EE556D" w14:textId="77777777" w:rsidR="00145C83" w:rsidRDefault="00B03696" w:rsidP="000E5D39">
      <w:pPr>
        <w:autoSpaceDE w:val="0"/>
        <w:autoSpaceDN w:val="0"/>
        <w:adjustRightInd w:val="0"/>
        <w:spacing w:after="240"/>
        <w:jc w:val="both"/>
        <w:rPr>
          <w:rFonts w:ascii="Calibri-Bold" w:hAnsi="Calibri-Bold" w:cs="Calibri-Bold"/>
          <w:bCs/>
          <w:color w:val="006871"/>
          <w:sz w:val="21"/>
          <w:szCs w:val="21"/>
        </w:rPr>
      </w:pPr>
      <w:r w:rsidRPr="001E4E63">
        <w:t xml:space="preserve">Eestis on vaja jagatud arusaama sellest, millist teed pidi liikuda teadmiste- ja </w:t>
      </w:r>
      <w:r w:rsidRPr="001E4E63">
        <w:rPr>
          <w:color w:val="000000" w:themeColor="text1"/>
        </w:rPr>
        <w:t>innovatsioonipõhise ühiskonna suunas. Oleme edukad vaid juhul, kui teadvustame vajadust pidevalt juurde ja ümber õppida, olla ettevõtlik ja loov, et kiirelt muutuvas keskkonnas toime tulla.</w:t>
      </w:r>
      <w:r w:rsidRPr="001E4E63">
        <w:rPr>
          <w:snapToGrid w:val="0"/>
          <w:color w:val="000000" w:themeColor="text1"/>
        </w:rPr>
        <w:t xml:space="preserve"> </w:t>
      </w:r>
      <w:r w:rsidR="00704922">
        <w:rPr>
          <w:snapToGrid w:val="0"/>
          <w:color w:val="000000" w:themeColor="text1"/>
        </w:rPr>
        <w:t xml:space="preserve">Õppimine </w:t>
      </w:r>
      <w:r w:rsidR="00AD41F7">
        <w:rPr>
          <w:snapToGrid w:val="0"/>
          <w:color w:val="000000" w:themeColor="text1"/>
        </w:rPr>
        <w:t xml:space="preserve">ja oma oskuste teadlik kasutamine </w:t>
      </w:r>
      <w:r w:rsidR="00704922">
        <w:rPr>
          <w:snapToGrid w:val="0"/>
          <w:color w:val="000000" w:themeColor="text1"/>
        </w:rPr>
        <w:t xml:space="preserve">peab muutuma aktiivse eluhoiaku lahutamatuks osaks. </w:t>
      </w:r>
    </w:p>
    <w:p w14:paraId="56EE556E" w14:textId="77777777" w:rsidR="001A2AE2" w:rsidRDefault="00B03696" w:rsidP="000E5D39">
      <w:pPr>
        <w:spacing w:after="240"/>
        <w:jc w:val="both"/>
        <w:rPr>
          <w:snapToGrid w:val="0"/>
          <w:color w:val="000000" w:themeColor="text1"/>
        </w:rPr>
      </w:pPr>
      <w:r w:rsidRPr="001E4E63">
        <w:rPr>
          <w:snapToGrid w:val="0"/>
          <w:color w:val="000000" w:themeColor="text1"/>
        </w:rPr>
        <w:t xml:space="preserve">Elukestva õppe strateegia on haridusvaldkonna tähtsamaid arenguid suunav </w:t>
      </w:r>
      <w:r w:rsidRPr="005F7EAE">
        <w:rPr>
          <w:snapToGrid w:val="0"/>
          <w:color w:val="000000" w:themeColor="text1"/>
        </w:rPr>
        <w:t xml:space="preserve">dokument, mis on aluseks </w:t>
      </w:r>
      <w:r w:rsidRPr="001E4E63">
        <w:rPr>
          <w:snapToGrid w:val="0"/>
          <w:color w:val="000000" w:themeColor="text1"/>
        </w:rPr>
        <w:t xml:space="preserve">riigi hariduseelarve valikutele </w:t>
      </w:r>
      <w:r w:rsidR="00FC048C" w:rsidRPr="001E4E63">
        <w:rPr>
          <w:snapToGrid w:val="0"/>
          <w:color w:val="000000" w:themeColor="text1"/>
        </w:rPr>
        <w:t xml:space="preserve">aastatel 2014−2020 </w:t>
      </w:r>
      <w:r w:rsidRPr="001E4E63">
        <w:rPr>
          <w:snapToGrid w:val="0"/>
          <w:color w:val="000000" w:themeColor="text1"/>
        </w:rPr>
        <w:t xml:space="preserve">ning mille põhjal töötatakse välja </w:t>
      </w:r>
      <w:r w:rsidR="00704922">
        <w:rPr>
          <w:snapToGrid w:val="0"/>
          <w:color w:val="000000" w:themeColor="text1"/>
        </w:rPr>
        <w:t>vajalike muutuste saavutamist toetavad</w:t>
      </w:r>
      <w:r w:rsidR="00AD41F7">
        <w:rPr>
          <w:snapToGrid w:val="0"/>
          <w:color w:val="000000" w:themeColor="text1"/>
        </w:rPr>
        <w:t xml:space="preserve"> programmid</w:t>
      </w:r>
      <w:r w:rsidRPr="001E4E63">
        <w:rPr>
          <w:snapToGrid w:val="0"/>
          <w:color w:val="000000" w:themeColor="text1"/>
        </w:rPr>
        <w:t>.</w:t>
      </w:r>
      <w:r w:rsidR="0035250E" w:rsidRPr="0035250E">
        <w:t xml:space="preserve"> </w:t>
      </w:r>
      <w:r w:rsidR="0035250E">
        <w:t xml:space="preserve">Elukestva õppe strateegia eesmärgid ja meetmed toetavad </w:t>
      </w:r>
      <w:r w:rsidR="0035250E">
        <w:rPr>
          <w:snapToGrid w:val="0"/>
          <w:color w:val="000000" w:themeColor="text1"/>
        </w:rPr>
        <w:t>k</w:t>
      </w:r>
      <w:r w:rsidR="0035250E" w:rsidRPr="0035250E">
        <w:rPr>
          <w:snapToGrid w:val="0"/>
          <w:color w:val="000000" w:themeColor="text1"/>
        </w:rPr>
        <w:t>onkurentsivõime kava „Eesti 2020“</w:t>
      </w:r>
      <w:r w:rsidR="0035250E">
        <w:rPr>
          <w:snapToGrid w:val="0"/>
          <w:color w:val="000000" w:themeColor="text1"/>
        </w:rPr>
        <w:t>,</w:t>
      </w:r>
      <w:r w:rsidR="0035250E" w:rsidRPr="0035250E">
        <w:rPr>
          <w:snapToGrid w:val="0"/>
          <w:color w:val="000000" w:themeColor="text1"/>
        </w:rPr>
        <w:t xml:space="preserve"> </w:t>
      </w:r>
      <w:r w:rsidR="0035250E">
        <w:rPr>
          <w:snapToGrid w:val="0"/>
          <w:color w:val="000000" w:themeColor="text1"/>
        </w:rPr>
        <w:t>Eesti s</w:t>
      </w:r>
      <w:r w:rsidR="0035250E" w:rsidRPr="0035250E">
        <w:rPr>
          <w:snapToGrid w:val="0"/>
          <w:color w:val="000000" w:themeColor="text1"/>
        </w:rPr>
        <w:t xml:space="preserve">äästva arengu riikliku </w:t>
      </w:r>
      <w:r w:rsidR="0035250E">
        <w:rPr>
          <w:snapToGrid w:val="0"/>
          <w:color w:val="000000" w:themeColor="text1"/>
        </w:rPr>
        <w:t>strateegia „Säästev Eesti 21” ning</w:t>
      </w:r>
      <w:r w:rsidR="0035250E" w:rsidRPr="0035250E">
        <w:rPr>
          <w:snapToGrid w:val="0"/>
          <w:color w:val="000000" w:themeColor="text1"/>
        </w:rPr>
        <w:t xml:space="preserve"> Eesti julgeolekupoliitika aluste hariduse valdkonnaga seotud </w:t>
      </w:r>
      <w:r w:rsidR="0035250E">
        <w:rPr>
          <w:snapToGrid w:val="0"/>
          <w:color w:val="000000" w:themeColor="text1"/>
        </w:rPr>
        <w:t>eesmärkide täitmist</w:t>
      </w:r>
      <w:r w:rsidR="0035250E" w:rsidRPr="0035250E">
        <w:rPr>
          <w:snapToGrid w:val="0"/>
          <w:color w:val="000000" w:themeColor="text1"/>
        </w:rPr>
        <w:t xml:space="preserve">. </w:t>
      </w:r>
    </w:p>
    <w:p w14:paraId="56EE556F" w14:textId="223578A3" w:rsidR="00E11356" w:rsidRPr="00E11356" w:rsidRDefault="00E11356" w:rsidP="000E5D39">
      <w:pPr>
        <w:spacing w:after="240"/>
        <w:jc w:val="both"/>
        <w:rPr>
          <w:snapToGrid w:val="0"/>
        </w:rPr>
      </w:pPr>
      <w:r w:rsidRPr="0013677D">
        <w:t xml:space="preserve">Erinevalt varem koostatud haridusstrateegia projektidest on käesolev strateegia </w:t>
      </w:r>
      <w:r w:rsidRPr="0013677D">
        <w:rPr>
          <w:b/>
        </w:rPr>
        <w:t>valikute strateegia</w:t>
      </w:r>
      <w:r w:rsidRPr="0013677D">
        <w:t>, kus käsitletakse vaid kõige olulisemaid elukestva õppe toimimise kitsaskohti, millele lahenduse leidmine on ühiskonna jaoks kriitilise tähtsusega ning mõjutab paljude eesmärkide saavutamist.</w:t>
      </w:r>
      <w:r w:rsidRPr="00E11356">
        <w:rPr>
          <w:snapToGrid w:val="0"/>
          <w:color w:val="000000" w:themeColor="text1"/>
        </w:rPr>
        <w:t xml:space="preserve"> </w:t>
      </w:r>
      <w:r w:rsidR="00DD3809">
        <w:rPr>
          <w:snapToGrid w:val="0"/>
          <w:color w:val="000000" w:themeColor="text1"/>
        </w:rPr>
        <w:t>Mitmed</w:t>
      </w:r>
      <w:r w:rsidRPr="00AA5366">
        <w:rPr>
          <w:snapToGrid w:val="0"/>
          <w:color w:val="000000" w:themeColor="text1"/>
        </w:rPr>
        <w:t xml:space="preserve"> rahvusvahelised testid</w:t>
      </w:r>
      <w:r>
        <w:rPr>
          <w:rStyle w:val="FootnoteReference"/>
          <w:snapToGrid w:val="0"/>
          <w:color w:val="000000" w:themeColor="text1"/>
        </w:rPr>
        <w:footnoteReference w:id="1"/>
      </w:r>
      <w:r w:rsidRPr="00AA5366">
        <w:rPr>
          <w:snapToGrid w:val="0"/>
          <w:color w:val="000000" w:themeColor="text1"/>
        </w:rPr>
        <w:t xml:space="preserve"> on näidanud, et </w:t>
      </w:r>
      <w:r w:rsidRPr="00E11356">
        <w:rPr>
          <w:rFonts w:cs="Calibri-Bold"/>
          <w:bCs/>
        </w:rPr>
        <w:t xml:space="preserve">Eesti hariduse kvaliteet on maailmas konkurentsivõimeline: põhi- ja keskharidusega noorte oskused on meil arenenud majandusega riikide noortega võrreldes üle keskmise, kõrgharidusega noortel </w:t>
      </w:r>
      <w:r w:rsidR="008D0CA9">
        <w:rPr>
          <w:rFonts w:cs="Calibri-Bold"/>
          <w:bCs/>
        </w:rPr>
        <w:t xml:space="preserve">− </w:t>
      </w:r>
      <w:r w:rsidRPr="00E11356">
        <w:rPr>
          <w:rFonts w:cs="Calibri-Bold"/>
          <w:bCs/>
        </w:rPr>
        <w:t xml:space="preserve">keskmised. Rahvusvaheline võrdlus on aga näidanud ka meie probleemkohti – vähest julgust ja loovust erinevate oskuste kasutamisel uudsetes olukordades, oskuste kiiremat kadumist ning vanemaealiste vähest arvutikasutusoskust ja </w:t>
      </w:r>
      <w:r w:rsidR="008D0CA9">
        <w:rPr>
          <w:rFonts w:cs="Calibri-Bold"/>
          <w:bCs/>
        </w:rPr>
        <w:t>-</w:t>
      </w:r>
      <w:r w:rsidRPr="00E11356">
        <w:rPr>
          <w:rFonts w:cs="Calibri-Bold"/>
          <w:bCs/>
        </w:rPr>
        <w:t>julgust. Meie formaalharidus annab hea stardipositsiooni, kuid oskusi tuleb igapäevaelus ja tööl</w:t>
      </w:r>
      <w:r w:rsidR="008D0CA9" w:rsidRPr="008D0CA9">
        <w:rPr>
          <w:rFonts w:cs="Calibri-Bold"/>
          <w:bCs/>
        </w:rPr>
        <w:t xml:space="preserve"> </w:t>
      </w:r>
      <w:r w:rsidR="001C276F" w:rsidRPr="00E11356">
        <w:rPr>
          <w:rFonts w:cs="Calibri-Bold"/>
          <w:bCs/>
        </w:rPr>
        <w:t xml:space="preserve">ka </w:t>
      </w:r>
      <w:r w:rsidR="008D0CA9" w:rsidRPr="00E11356">
        <w:rPr>
          <w:rFonts w:cs="Calibri-Bold"/>
          <w:bCs/>
        </w:rPr>
        <w:t>aktiivselt kasutada</w:t>
      </w:r>
      <w:r w:rsidRPr="00E11356">
        <w:rPr>
          <w:rFonts w:cs="Calibri-Bold"/>
          <w:bCs/>
        </w:rPr>
        <w:t>, sest kehtib põhimõte „kasuta või kaota</w:t>
      </w:r>
      <w:r w:rsidR="0074210D">
        <w:rPr>
          <w:rFonts w:cs="Calibri-Bold"/>
          <w:bCs/>
        </w:rPr>
        <w:t>d</w:t>
      </w:r>
      <w:r w:rsidRPr="00E11356">
        <w:rPr>
          <w:rFonts w:cs="Calibri-Bold"/>
          <w:bCs/>
        </w:rPr>
        <w:t>“. Peame selgemalt teadvustama, et kasutamata oskused pole iseseisev väärtus.</w:t>
      </w:r>
      <w:r w:rsidR="008D0CA9">
        <w:rPr>
          <w:rFonts w:cs="Calibri-Bold"/>
          <w:bCs/>
        </w:rPr>
        <w:t xml:space="preserve"> </w:t>
      </w:r>
      <w:r w:rsidR="001C276F">
        <w:rPr>
          <w:rFonts w:cs="Calibri-Bold"/>
          <w:bCs/>
        </w:rPr>
        <w:t xml:space="preserve"> </w:t>
      </w:r>
    </w:p>
    <w:p w14:paraId="56EE5570" w14:textId="77777777" w:rsidR="00E3095A" w:rsidRPr="00E0738E" w:rsidRDefault="00E3095A" w:rsidP="000E5D39">
      <w:pPr>
        <w:spacing w:after="240"/>
        <w:jc w:val="both"/>
        <w:rPr>
          <w:snapToGrid w:val="0"/>
        </w:rPr>
      </w:pPr>
      <w:r w:rsidRPr="0013677D" w:rsidDel="002F6B98">
        <w:rPr>
          <w:snapToGrid w:val="0"/>
        </w:rPr>
        <w:t xml:space="preserve">Elukestva õppe </w:t>
      </w:r>
      <w:r w:rsidR="00515C8F">
        <w:rPr>
          <w:snapToGrid w:val="0"/>
        </w:rPr>
        <w:t>s</w:t>
      </w:r>
      <w:r w:rsidRPr="0013677D">
        <w:rPr>
          <w:snapToGrid w:val="0"/>
        </w:rPr>
        <w:t xml:space="preserve">trateegia koostamine on olnud kahe-etapiline. </w:t>
      </w:r>
      <w:r w:rsidRPr="0013677D">
        <w:t>Eesti Koostöö Kogu, Eesti Haridusfoorumi ja Haridus- ja Teadusministeeriumi ühistöös töötati aastatel 2009</w:t>
      </w:r>
      <w:r w:rsidR="001C276F">
        <w:rPr>
          <w:rFonts w:cs="Calibri-Bold"/>
          <w:bCs/>
        </w:rPr>
        <w:t>−</w:t>
      </w:r>
      <w:r w:rsidRPr="0013677D">
        <w:t xml:space="preserve">2011 välja kavand „Eesti hariduse viis väljakutset – haridusstrateegia 2012–2020“. Seda aluseks võttes koostas </w:t>
      </w:r>
      <w:r w:rsidR="001C276F" w:rsidRPr="00E0738E">
        <w:rPr>
          <w:rStyle w:val="Hyperlink"/>
          <w:snapToGrid w:val="0"/>
          <w:color w:val="auto"/>
          <w:u w:val="none"/>
        </w:rPr>
        <w:t>haridus- ja töövaldkonna eksper</w:t>
      </w:r>
      <w:r w:rsidR="001C276F">
        <w:rPr>
          <w:rStyle w:val="Hyperlink"/>
          <w:snapToGrid w:val="0"/>
          <w:color w:val="auto"/>
          <w:u w:val="none"/>
        </w:rPr>
        <w:t>te koondav</w:t>
      </w:r>
      <w:r w:rsidR="001C276F">
        <w:t xml:space="preserve"> </w:t>
      </w:r>
      <w:hyperlink r:id="rId10" w:history="1">
        <w:r w:rsidRPr="00E0738E">
          <w:rPr>
            <w:rStyle w:val="Hyperlink"/>
            <w:snapToGrid w:val="0"/>
            <w:color w:val="auto"/>
            <w:u w:val="none"/>
          </w:rPr>
          <w:t>juhtkomisjon</w:t>
        </w:r>
      </w:hyperlink>
      <w:r w:rsidR="001C276F" w:rsidRPr="001C276F">
        <w:t xml:space="preserve"> </w:t>
      </w:r>
      <w:r w:rsidR="001C276F" w:rsidRPr="00E0738E">
        <w:t>k</w:t>
      </w:r>
      <w:r w:rsidR="001C276F" w:rsidRPr="00E0738E">
        <w:rPr>
          <w:snapToGrid w:val="0"/>
        </w:rPr>
        <w:t>äesoleva strateegia</w:t>
      </w:r>
      <w:r w:rsidR="001C276F">
        <w:rPr>
          <w:rStyle w:val="Hyperlink"/>
          <w:snapToGrid w:val="0"/>
          <w:color w:val="auto"/>
          <w:u w:val="none"/>
        </w:rPr>
        <w:t>.</w:t>
      </w:r>
      <w:r w:rsidR="001C276F" w:rsidRPr="00E0738E">
        <w:rPr>
          <w:rStyle w:val="Hyperlink"/>
          <w:snapToGrid w:val="0"/>
          <w:color w:val="auto"/>
          <w:u w:val="none"/>
        </w:rPr>
        <w:t xml:space="preserve"> </w:t>
      </w:r>
      <w:r w:rsidR="001C276F">
        <w:rPr>
          <w:snapToGrid w:val="0"/>
        </w:rPr>
        <w:t>Strateegia</w:t>
      </w:r>
      <w:r w:rsidRPr="00E0738E">
        <w:rPr>
          <w:snapToGrid w:val="0"/>
        </w:rPr>
        <w:t xml:space="preserve"> koostamist nõustas </w:t>
      </w:r>
      <w:hyperlink r:id="rId11" w:history="1">
        <w:r w:rsidRPr="00E0738E">
          <w:rPr>
            <w:rStyle w:val="Hyperlink"/>
            <w:snapToGrid w:val="0"/>
            <w:color w:val="auto"/>
            <w:u w:val="none"/>
          </w:rPr>
          <w:t>nõukoda</w:t>
        </w:r>
      </w:hyperlink>
      <w:r w:rsidR="002F4085" w:rsidRPr="00E0738E">
        <w:rPr>
          <w:rStyle w:val="Hyperlink"/>
          <w:snapToGrid w:val="0"/>
          <w:color w:val="auto"/>
          <w:u w:val="none"/>
        </w:rPr>
        <w:t>, mis moodustati Eesti Koostöö Kogu, Eesti Haridusfoorumi, tööandjate ning Haridus- ja Teadusministeeriumi esindajatest</w:t>
      </w:r>
      <w:r w:rsidRPr="00E0738E">
        <w:rPr>
          <w:snapToGrid w:val="0"/>
        </w:rPr>
        <w:t xml:space="preserve">. </w:t>
      </w:r>
    </w:p>
    <w:p w14:paraId="56EE5571" w14:textId="77777777" w:rsidR="00704922" w:rsidRDefault="004C6A8D" w:rsidP="000E5D39">
      <w:pPr>
        <w:spacing w:after="240"/>
        <w:jc w:val="both"/>
        <w:rPr>
          <w:snapToGrid w:val="0"/>
          <w:color w:val="000000" w:themeColor="text1"/>
        </w:rPr>
      </w:pPr>
      <w:r>
        <w:rPr>
          <w:snapToGrid w:val="0"/>
          <w:color w:val="000000" w:themeColor="text1"/>
        </w:rPr>
        <w:t>Strateegia koostamisel on arvestatud erinevate partneritega toimunud arutelude tulemusi ja kirjalikke kommentaare.</w:t>
      </w:r>
      <w:r w:rsidR="003738BA">
        <w:rPr>
          <w:snapToGrid w:val="0"/>
          <w:color w:val="000000" w:themeColor="text1"/>
        </w:rPr>
        <w:t xml:space="preserve"> Strateegia seose</w:t>
      </w:r>
      <w:r w:rsidR="001C276F">
        <w:rPr>
          <w:snapToGrid w:val="0"/>
          <w:color w:val="000000" w:themeColor="text1"/>
        </w:rPr>
        <w:t>i</w:t>
      </w:r>
      <w:r w:rsidR="003738BA">
        <w:rPr>
          <w:snapToGrid w:val="0"/>
          <w:color w:val="000000" w:themeColor="text1"/>
        </w:rPr>
        <w:t>d erinevate valdkondlike arengu</w:t>
      </w:r>
      <w:r w:rsidR="007554C8">
        <w:rPr>
          <w:snapToGrid w:val="0"/>
          <w:color w:val="000000" w:themeColor="text1"/>
        </w:rPr>
        <w:t>kavadega on kirjeldatud lisas 3</w:t>
      </w:r>
      <w:r w:rsidR="00B2270D">
        <w:rPr>
          <w:snapToGrid w:val="0"/>
          <w:color w:val="000000" w:themeColor="text1"/>
        </w:rPr>
        <w:t>.</w:t>
      </w:r>
    </w:p>
    <w:p w14:paraId="56EE5572" w14:textId="77777777" w:rsidR="00515C8F" w:rsidRPr="00515C8F" w:rsidRDefault="00C15C5B" w:rsidP="000E5D39">
      <w:pPr>
        <w:pStyle w:val="Heading1"/>
        <w:spacing w:before="0" w:after="240"/>
      </w:pPr>
      <w:bookmarkStart w:id="2" w:name="_Toc376952243"/>
      <w:r>
        <w:t>Üldeesmärk ja lähtealused</w:t>
      </w:r>
      <w:bookmarkEnd w:id="2"/>
    </w:p>
    <w:p w14:paraId="56EE5573" w14:textId="77777777" w:rsidR="00511959" w:rsidRPr="00511959" w:rsidRDefault="00511959" w:rsidP="000E5D39">
      <w:pPr>
        <w:spacing w:after="240"/>
        <w:jc w:val="both"/>
        <w:rPr>
          <w:rFonts w:ascii="Calibri" w:eastAsia="Calibri" w:hAnsi="Calibri" w:cs="Times New Roman"/>
          <w:snapToGrid w:val="0"/>
        </w:rPr>
      </w:pPr>
      <w:r w:rsidRPr="00511959">
        <w:rPr>
          <w:rFonts w:ascii="Calibri" w:eastAsia="Calibri" w:hAnsi="Calibri" w:cs="Times New Roman"/>
          <w:b/>
          <w:snapToGrid w:val="0"/>
        </w:rPr>
        <w:t>Elukestev õpe</w:t>
      </w:r>
      <w:r w:rsidRPr="00511959">
        <w:rPr>
          <w:rFonts w:ascii="Calibri" w:eastAsia="Calibri" w:hAnsi="Calibri" w:cs="Times New Roman"/>
          <w:snapToGrid w:val="0"/>
        </w:rPr>
        <w:t xml:space="preserve"> hõlmab formaalharidussüsteemi (lasteaed, põhikool, gümnaasium, kutseõppeasutus, kõrgkool) kõrval ka sellest väljaspool pakutavat täiendus- ja ümberõpet, mitteformaalset ja informaalset õpet kogu selle mitmekesisuses. Uute teadmis</w:t>
      </w:r>
      <w:r w:rsidR="00515C8F">
        <w:rPr>
          <w:rFonts w:ascii="Calibri" w:eastAsia="Calibri" w:hAnsi="Calibri" w:cs="Times New Roman"/>
          <w:snapToGrid w:val="0"/>
        </w:rPr>
        <w:t>t</w:t>
      </w:r>
      <w:r w:rsidRPr="00511959">
        <w:rPr>
          <w:rFonts w:ascii="Calibri" w:eastAsia="Calibri" w:hAnsi="Calibri" w:cs="Times New Roman"/>
          <w:snapToGrid w:val="0"/>
        </w:rPr>
        <w:t xml:space="preserve">e ja oskuste omandamise võimalusi annab töökoht, vaba- ja huviharidus ning noorsootöö, samuti osalemine kodanikuühiskonna organisatsioonide tegevuses või virtuaalruumis, kus saab õppida individuaalselt või koos teistega. </w:t>
      </w:r>
      <w:r w:rsidRPr="00511959">
        <w:rPr>
          <w:snapToGrid w:val="0"/>
        </w:rPr>
        <w:t xml:space="preserve"> </w:t>
      </w:r>
      <w:r w:rsidRPr="00511959">
        <w:rPr>
          <w:snapToGrid w:val="0"/>
        </w:rPr>
        <w:lastRenderedPageBreak/>
        <w:t>Uudishimu ja õpihuvi kujund</w:t>
      </w:r>
      <w:r w:rsidR="004D5071">
        <w:rPr>
          <w:snapToGrid w:val="0"/>
        </w:rPr>
        <w:t xml:space="preserve">amisel </w:t>
      </w:r>
      <w:r w:rsidR="001C276F">
        <w:rPr>
          <w:snapToGrid w:val="0"/>
        </w:rPr>
        <w:t>ning</w:t>
      </w:r>
      <w:r w:rsidR="001C276F" w:rsidRPr="00511959">
        <w:rPr>
          <w:snapToGrid w:val="0"/>
        </w:rPr>
        <w:t xml:space="preserve"> </w:t>
      </w:r>
      <w:r w:rsidRPr="00511959">
        <w:rPr>
          <w:snapToGrid w:val="0"/>
        </w:rPr>
        <w:t>õpiharjumus</w:t>
      </w:r>
      <w:r w:rsidR="004D5071">
        <w:rPr>
          <w:snapToGrid w:val="0"/>
        </w:rPr>
        <w:t>te</w:t>
      </w:r>
      <w:r w:rsidRPr="00511959">
        <w:rPr>
          <w:snapToGrid w:val="0"/>
        </w:rPr>
        <w:t xml:space="preserve"> ja väärtushinnangu</w:t>
      </w:r>
      <w:r w:rsidR="004D5071">
        <w:rPr>
          <w:snapToGrid w:val="0"/>
        </w:rPr>
        <w:t>te</w:t>
      </w:r>
      <w:r w:rsidRPr="00511959">
        <w:rPr>
          <w:snapToGrid w:val="0"/>
        </w:rPr>
        <w:t xml:space="preserve"> arenda</w:t>
      </w:r>
      <w:r w:rsidR="004D5071">
        <w:rPr>
          <w:snapToGrid w:val="0"/>
        </w:rPr>
        <w:t>misel on oluline roll kodul,</w:t>
      </w:r>
      <w:r w:rsidRPr="00511959">
        <w:rPr>
          <w:snapToGrid w:val="0"/>
        </w:rPr>
        <w:t xml:space="preserve"> </w:t>
      </w:r>
      <w:r w:rsidR="004D5071">
        <w:rPr>
          <w:snapToGrid w:val="0"/>
        </w:rPr>
        <w:t xml:space="preserve">erinevatel sotsiaalvõrgustikel, </w:t>
      </w:r>
      <w:r w:rsidRPr="00511959">
        <w:rPr>
          <w:snapToGrid w:val="0"/>
        </w:rPr>
        <w:t>kultuuriasutus</w:t>
      </w:r>
      <w:r w:rsidR="004D5071">
        <w:rPr>
          <w:snapToGrid w:val="0"/>
        </w:rPr>
        <w:t>tel</w:t>
      </w:r>
      <w:r w:rsidRPr="00511959">
        <w:rPr>
          <w:snapToGrid w:val="0"/>
        </w:rPr>
        <w:t>, samuti ajateenistus</w:t>
      </w:r>
      <w:r w:rsidR="004D5071">
        <w:rPr>
          <w:snapToGrid w:val="0"/>
        </w:rPr>
        <w:t>el</w:t>
      </w:r>
      <w:r w:rsidRPr="00511959">
        <w:rPr>
          <w:snapToGrid w:val="0"/>
        </w:rPr>
        <w:t xml:space="preserve">. </w:t>
      </w:r>
      <w:r w:rsidR="002F4085">
        <w:rPr>
          <w:snapToGrid w:val="0"/>
        </w:rPr>
        <w:t xml:space="preserve"> </w:t>
      </w:r>
    </w:p>
    <w:p w14:paraId="56EE5574" w14:textId="77777777" w:rsidR="00511959" w:rsidRDefault="00511959" w:rsidP="000E5D39">
      <w:pPr>
        <w:spacing w:after="240"/>
        <w:jc w:val="both"/>
      </w:pPr>
    </w:p>
    <w:p w14:paraId="56EE5575" w14:textId="77777777" w:rsidR="00B03696" w:rsidRPr="001E4E63" w:rsidRDefault="00511959" w:rsidP="000E5D39">
      <w:pPr>
        <w:spacing w:after="240"/>
        <w:jc w:val="both"/>
        <w:rPr>
          <w:snapToGrid w:val="0"/>
        </w:rPr>
      </w:pPr>
      <w:r w:rsidRPr="00511959">
        <w:t xml:space="preserve">Eesti elukestva õppe strateegia käsitab </w:t>
      </w:r>
      <w:r w:rsidRPr="00511959">
        <w:rPr>
          <w:b/>
        </w:rPr>
        <w:t>õppijatena</w:t>
      </w:r>
      <w:r w:rsidRPr="00511959">
        <w:t xml:space="preserve"> kõiki – nii lapsi, noori kui ka täiskasvanuid. Õppimine peab muutuma aktiivse eluhoiaku lahutamatuks osaks, sh ka vanemaealiste hulgas. </w:t>
      </w:r>
      <w:r w:rsidRPr="00511959">
        <w:rPr>
          <w:b/>
        </w:rPr>
        <w:t>Õpetajana</w:t>
      </w:r>
      <w:r w:rsidRPr="00511959">
        <w:t xml:space="preserve"> peetakse silmas kõiki, kes </w:t>
      </w:r>
      <w:r w:rsidR="003E34D9">
        <w:t>juhivad õppeprotsessi ja kujundavad õpikeskkonda</w:t>
      </w:r>
      <w:r w:rsidR="003E34D9" w:rsidRPr="00511959">
        <w:t xml:space="preserve"> </w:t>
      </w:r>
      <w:r w:rsidRPr="00511959">
        <w:t>lasteaedades, üldhariduskoolides, kutsekoolides, kõrgkoolides, huvikoolides, vabahar</w:t>
      </w:r>
      <w:r w:rsidR="003E34D9">
        <w:t>iduslikes koolituskeskustes,</w:t>
      </w:r>
      <w:r w:rsidRPr="00511959">
        <w:t xml:space="preserve"> täiendusõppes,</w:t>
      </w:r>
      <w:r w:rsidR="003E34D9">
        <w:t xml:space="preserve"> avatud noortekeskustes, muuseumides jt kultuuriasutustes.</w:t>
      </w:r>
      <w:r w:rsidRPr="00511959">
        <w:t xml:space="preserve"> </w:t>
      </w:r>
      <w:r w:rsidR="003E34D9">
        <w:rPr>
          <w:b/>
        </w:rPr>
        <w:t>K</w:t>
      </w:r>
      <w:r w:rsidRPr="00511959">
        <w:rPr>
          <w:b/>
        </w:rPr>
        <w:t>oolijuhtidena</w:t>
      </w:r>
      <w:r w:rsidRPr="00511959">
        <w:t xml:space="preserve"> käsitatakse </w:t>
      </w:r>
      <w:r w:rsidR="003E34D9">
        <w:t>nimetatud</w:t>
      </w:r>
      <w:r w:rsidR="003E34D9" w:rsidRPr="00511959">
        <w:t xml:space="preserve"> </w:t>
      </w:r>
      <w:r w:rsidRPr="00511959">
        <w:t xml:space="preserve">õppeasutuste juhte. </w:t>
      </w:r>
      <w:r w:rsidRPr="00511959">
        <w:rPr>
          <w:b/>
        </w:rPr>
        <w:t>Õpikäsitus</w:t>
      </w:r>
      <w:r w:rsidRPr="00511959">
        <w:t xml:space="preserve"> hõlmab arusaama õppimise olemusest, eesmärkidest, meetoditest ja erinevate osapoolte rollist õppeprotsessis.  </w:t>
      </w:r>
      <w:r w:rsidR="00515C8F">
        <w:t>Mõistete seletus on lisas 2.</w:t>
      </w:r>
      <w:r w:rsidRPr="00511959">
        <w:t xml:space="preserve"> </w:t>
      </w:r>
    </w:p>
    <w:p w14:paraId="56EE5576" w14:textId="77777777" w:rsidR="00C15C5B" w:rsidRPr="00C15C5B" w:rsidRDefault="00C15C5B" w:rsidP="000E5D39">
      <w:pPr>
        <w:spacing w:after="240"/>
        <w:jc w:val="both"/>
        <w:rPr>
          <w:b/>
          <w:snapToGrid w:val="0"/>
        </w:rPr>
      </w:pPr>
      <w:r w:rsidRPr="00C15C5B">
        <w:rPr>
          <w:rFonts w:eastAsia="Times New Roman" w:cs="Times New Roman"/>
          <w:b/>
          <w:snapToGrid w:val="0"/>
          <w:color w:val="000000" w:themeColor="text1"/>
        </w:rPr>
        <w:t>Elukestva õppe strateegia</w:t>
      </w:r>
      <w:r w:rsidR="00515C8F">
        <w:rPr>
          <w:rFonts w:eastAsia="Times New Roman" w:cs="Times New Roman"/>
          <w:b/>
          <w:snapToGrid w:val="0"/>
          <w:color w:val="000000" w:themeColor="text1"/>
        </w:rPr>
        <w:t xml:space="preserve"> </w:t>
      </w:r>
      <w:r w:rsidR="00153300">
        <w:rPr>
          <w:rFonts w:eastAsia="Times New Roman" w:cs="Times New Roman"/>
          <w:b/>
          <w:snapToGrid w:val="0"/>
          <w:color w:val="000000" w:themeColor="text1"/>
        </w:rPr>
        <w:t xml:space="preserve">koostamise </w:t>
      </w:r>
      <w:r w:rsidR="00515C8F">
        <w:rPr>
          <w:b/>
          <w:color w:val="1F497D" w:themeColor="text2"/>
          <w:sz w:val="24"/>
          <w:szCs w:val="24"/>
        </w:rPr>
        <w:t>üldeesmär</w:t>
      </w:r>
      <w:r w:rsidR="00153300">
        <w:rPr>
          <w:b/>
          <w:color w:val="1F497D" w:themeColor="text2"/>
          <w:sz w:val="24"/>
          <w:szCs w:val="24"/>
        </w:rPr>
        <w:t>k:</w:t>
      </w:r>
      <w:r w:rsidR="00153300">
        <w:rPr>
          <w:rFonts w:eastAsia="Times New Roman" w:cs="Times New Roman"/>
          <w:b/>
          <w:snapToGrid w:val="0"/>
          <w:color w:val="000000" w:themeColor="text1"/>
        </w:rPr>
        <w:t xml:space="preserve"> </w:t>
      </w:r>
      <w:r w:rsidRPr="00C15C5B">
        <w:rPr>
          <w:rFonts w:eastAsia="Times New Roman" w:cs="Times New Roman"/>
          <w:b/>
          <w:color w:val="000000" w:themeColor="text1"/>
        </w:rPr>
        <w:t xml:space="preserve">kõigile Eesti inimestele </w:t>
      </w:r>
      <w:r w:rsidR="00433A8B">
        <w:rPr>
          <w:rFonts w:eastAsia="Times New Roman" w:cs="Times New Roman"/>
          <w:b/>
          <w:color w:val="000000" w:themeColor="text1"/>
        </w:rPr>
        <w:t xml:space="preserve">on loodud </w:t>
      </w:r>
      <w:r w:rsidRPr="00C15C5B">
        <w:rPr>
          <w:rFonts w:eastAsia="Times New Roman" w:cs="Times New Roman"/>
          <w:b/>
          <w:color w:val="000000" w:themeColor="text1"/>
        </w:rPr>
        <w:t>nende vajadustele ning võimetele vastavad õpivõimalused kogu elukaare jooksul, et tagada neile isiksusena väärika eneseteostuse võimalused ühiskonnas</w:t>
      </w:r>
      <w:r w:rsidRPr="00C15C5B">
        <w:rPr>
          <w:b/>
          <w:color w:val="000000" w:themeColor="text1"/>
        </w:rPr>
        <w:t xml:space="preserve">, </w:t>
      </w:r>
      <w:r w:rsidRPr="00C15C5B">
        <w:rPr>
          <w:rFonts w:eastAsia="Times New Roman" w:cs="Times New Roman"/>
          <w:b/>
          <w:color w:val="000000" w:themeColor="text1"/>
        </w:rPr>
        <w:t>töö- ja pereelus.</w:t>
      </w:r>
    </w:p>
    <w:p w14:paraId="56EE5577" w14:textId="77777777" w:rsidR="00433A8B" w:rsidRDefault="00433A8B" w:rsidP="00433A8B">
      <w:pPr>
        <w:spacing w:after="160" w:line="252" w:lineRule="auto"/>
        <w:rPr>
          <w:b/>
          <w:color w:val="1F497D" w:themeColor="text2"/>
          <w:sz w:val="24"/>
          <w:szCs w:val="24"/>
        </w:rPr>
      </w:pPr>
      <w:r w:rsidRPr="00471561">
        <w:rPr>
          <w:rFonts w:ascii="Calibri" w:hAnsi="Calibri"/>
          <w:b/>
        </w:rPr>
        <w:t xml:space="preserve">Elukestva õppe süsteemi 2020 iseloomustavad järgmised </w:t>
      </w:r>
      <w:r w:rsidRPr="00423859">
        <w:rPr>
          <w:b/>
          <w:color w:val="1F497D" w:themeColor="text2"/>
          <w:sz w:val="24"/>
          <w:szCs w:val="24"/>
        </w:rPr>
        <w:t>võtmenäitajad</w:t>
      </w:r>
      <w:r w:rsidR="00AF7BBA">
        <w:rPr>
          <w:rStyle w:val="FootnoteReference"/>
          <w:b/>
          <w:color w:val="1F497D" w:themeColor="text2"/>
          <w:sz w:val="24"/>
          <w:szCs w:val="24"/>
        </w:rPr>
        <w:footnoteReference w:id="2"/>
      </w:r>
      <w:r>
        <w:rPr>
          <w:b/>
          <w:color w:val="1F497D" w:themeColor="text2"/>
          <w:sz w:val="24"/>
          <w:szCs w:val="24"/>
        </w:rPr>
        <w:t xml:space="preserve"> </w:t>
      </w:r>
    </w:p>
    <w:tbl>
      <w:tblPr>
        <w:tblStyle w:val="TableGrid"/>
        <w:tblW w:w="0" w:type="auto"/>
        <w:tblLook w:val="04A0" w:firstRow="1" w:lastRow="0" w:firstColumn="1" w:lastColumn="0" w:noHBand="0" w:noVBand="1"/>
      </w:tblPr>
      <w:tblGrid>
        <w:gridCol w:w="426"/>
        <w:gridCol w:w="5778"/>
        <w:gridCol w:w="1559"/>
        <w:gridCol w:w="1525"/>
      </w:tblGrid>
      <w:tr w:rsidR="00433A8B" w:rsidRPr="00065941" w14:paraId="56EE557B" w14:textId="77777777" w:rsidTr="00433A8B">
        <w:tc>
          <w:tcPr>
            <w:tcW w:w="6204" w:type="dxa"/>
            <w:gridSpan w:val="2"/>
            <w:tcBorders>
              <w:left w:val="single" w:sz="4" w:space="0" w:color="auto"/>
            </w:tcBorders>
          </w:tcPr>
          <w:p w14:paraId="56EE5578" w14:textId="77777777" w:rsidR="00433A8B" w:rsidRPr="00065941" w:rsidRDefault="00433A8B" w:rsidP="00433A8B">
            <w:pPr>
              <w:pStyle w:val="ListParagraph"/>
              <w:ind w:left="360"/>
            </w:pPr>
          </w:p>
        </w:tc>
        <w:tc>
          <w:tcPr>
            <w:tcW w:w="1559" w:type="dxa"/>
          </w:tcPr>
          <w:p w14:paraId="56EE5579" w14:textId="77777777" w:rsidR="00433A8B" w:rsidRPr="00065941" w:rsidRDefault="00433A8B" w:rsidP="00433A8B">
            <w:pPr>
              <w:jc w:val="both"/>
            </w:pPr>
            <w:r>
              <w:t>sihttase 2020</w:t>
            </w:r>
          </w:p>
        </w:tc>
        <w:tc>
          <w:tcPr>
            <w:tcW w:w="1525" w:type="dxa"/>
            <w:tcBorders>
              <w:right w:val="single" w:sz="4" w:space="0" w:color="auto"/>
            </w:tcBorders>
          </w:tcPr>
          <w:p w14:paraId="56EE557A" w14:textId="77777777" w:rsidR="00433A8B" w:rsidRPr="00065941" w:rsidRDefault="00433A8B" w:rsidP="00433A8B">
            <w:pPr>
              <w:jc w:val="both"/>
            </w:pPr>
            <w:r>
              <w:t>algtase</w:t>
            </w:r>
          </w:p>
        </w:tc>
      </w:tr>
      <w:tr w:rsidR="00433A8B" w:rsidRPr="00065941" w14:paraId="56EE557F" w14:textId="77777777" w:rsidTr="00433A8B">
        <w:tc>
          <w:tcPr>
            <w:tcW w:w="6204" w:type="dxa"/>
            <w:gridSpan w:val="2"/>
            <w:tcBorders>
              <w:left w:val="single" w:sz="4" w:space="0" w:color="auto"/>
            </w:tcBorders>
          </w:tcPr>
          <w:p w14:paraId="56EE557C" w14:textId="77777777" w:rsidR="00433A8B" w:rsidRPr="00065941" w:rsidRDefault="00433A8B" w:rsidP="00433A8B">
            <w:pPr>
              <w:pStyle w:val="ListParagraph"/>
              <w:numPr>
                <w:ilvl w:val="0"/>
                <w:numId w:val="30"/>
              </w:numPr>
            </w:pPr>
            <w:r w:rsidRPr="00065941">
              <w:t>Täiskasvanute õppes osaluse määr</w:t>
            </w:r>
          </w:p>
        </w:tc>
        <w:tc>
          <w:tcPr>
            <w:tcW w:w="1559" w:type="dxa"/>
          </w:tcPr>
          <w:p w14:paraId="56EE557D" w14:textId="77777777" w:rsidR="00433A8B" w:rsidRPr="00065941" w:rsidRDefault="00433A8B" w:rsidP="00433A8B">
            <w:pPr>
              <w:jc w:val="both"/>
            </w:pPr>
            <w:r w:rsidRPr="00065941">
              <w:t>20%</w:t>
            </w:r>
          </w:p>
        </w:tc>
        <w:tc>
          <w:tcPr>
            <w:tcW w:w="1525" w:type="dxa"/>
            <w:tcBorders>
              <w:right w:val="single" w:sz="4" w:space="0" w:color="auto"/>
            </w:tcBorders>
          </w:tcPr>
          <w:p w14:paraId="56EE557E" w14:textId="77777777" w:rsidR="00433A8B" w:rsidRPr="00065941" w:rsidRDefault="00433A8B" w:rsidP="00433A8B">
            <w:pPr>
              <w:jc w:val="both"/>
            </w:pPr>
            <w:r w:rsidRPr="00065941">
              <w:t>12,9% (2012)</w:t>
            </w:r>
          </w:p>
        </w:tc>
      </w:tr>
      <w:tr w:rsidR="00433A8B" w:rsidRPr="00065941" w14:paraId="56EE5583" w14:textId="77777777" w:rsidTr="00433A8B">
        <w:tc>
          <w:tcPr>
            <w:tcW w:w="6204" w:type="dxa"/>
            <w:gridSpan w:val="2"/>
            <w:tcBorders>
              <w:left w:val="single" w:sz="4" w:space="0" w:color="auto"/>
            </w:tcBorders>
          </w:tcPr>
          <w:p w14:paraId="56EE5580" w14:textId="77777777" w:rsidR="00433A8B" w:rsidRPr="00065941" w:rsidRDefault="00573087" w:rsidP="00433A8B">
            <w:pPr>
              <w:pStyle w:val="ListParagraph"/>
              <w:numPr>
                <w:ilvl w:val="0"/>
                <w:numId w:val="30"/>
              </w:numPr>
            </w:pPr>
            <w:r>
              <w:t>Eri- ja kutsealase hariduseta täiskasvanute (25-64) osakaal</w:t>
            </w:r>
            <w:r w:rsidR="00433A8B" w:rsidRPr="00065941">
              <w:t xml:space="preserve"> </w:t>
            </w:r>
          </w:p>
        </w:tc>
        <w:tc>
          <w:tcPr>
            <w:tcW w:w="1559" w:type="dxa"/>
          </w:tcPr>
          <w:p w14:paraId="56EE5581" w14:textId="77777777" w:rsidR="00433A8B" w:rsidRPr="00065941" w:rsidRDefault="00573087" w:rsidP="00433A8B">
            <w:pPr>
              <w:jc w:val="both"/>
            </w:pPr>
            <w:r>
              <w:t>mitte rohkem kui 25</w:t>
            </w:r>
            <w:r w:rsidR="00433A8B" w:rsidRPr="00065941">
              <w:t>%</w:t>
            </w:r>
          </w:p>
        </w:tc>
        <w:tc>
          <w:tcPr>
            <w:tcW w:w="1525" w:type="dxa"/>
            <w:tcBorders>
              <w:right w:val="single" w:sz="4" w:space="0" w:color="auto"/>
            </w:tcBorders>
          </w:tcPr>
          <w:p w14:paraId="56EE5582" w14:textId="77777777" w:rsidR="00433A8B" w:rsidRPr="00065941" w:rsidRDefault="00573087" w:rsidP="00433A8B">
            <w:pPr>
              <w:jc w:val="both"/>
            </w:pPr>
            <w:r>
              <w:t>30</w:t>
            </w:r>
            <w:r w:rsidR="00433A8B" w:rsidRPr="00065941">
              <w:t>,</w:t>
            </w:r>
            <w:r>
              <w:t>3</w:t>
            </w:r>
            <w:r w:rsidR="00433A8B" w:rsidRPr="00065941">
              <w:t>% (2012)</w:t>
            </w:r>
          </w:p>
        </w:tc>
      </w:tr>
      <w:tr w:rsidR="00433A8B" w:rsidRPr="00065941" w14:paraId="56EE5587" w14:textId="77777777" w:rsidTr="00433A8B">
        <w:tc>
          <w:tcPr>
            <w:tcW w:w="6204" w:type="dxa"/>
            <w:gridSpan w:val="2"/>
            <w:tcBorders>
              <w:left w:val="single" w:sz="4" w:space="0" w:color="auto"/>
            </w:tcBorders>
          </w:tcPr>
          <w:p w14:paraId="56EE5584" w14:textId="77777777" w:rsidR="00433A8B" w:rsidRPr="00065941" w:rsidRDefault="00433A8B" w:rsidP="007A45BC">
            <w:pPr>
              <w:pStyle w:val="ListParagraph"/>
              <w:numPr>
                <w:ilvl w:val="0"/>
                <w:numId w:val="30"/>
              </w:numPr>
            </w:pPr>
            <w:r w:rsidRPr="00065941">
              <w:t xml:space="preserve">Madala haridustasemega mitteõppivate 18−24aastaste </w:t>
            </w:r>
            <w:r w:rsidR="00633C63">
              <w:t xml:space="preserve">inimeste </w:t>
            </w:r>
            <w:r w:rsidRPr="00065941">
              <w:t>osakaal</w:t>
            </w:r>
          </w:p>
        </w:tc>
        <w:tc>
          <w:tcPr>
            <w:tcW w:w="1559" w:type="dxa"/>
          </w:tcPr>
          <w:p w14:paraId="56EE5585" w14:textId="77777777" w:rsidR="00433A8B" w:rsidRPr="00065941" w:rsidRDefault="00ED1CEB" w:rsidP="00B12417">
            <w:pPr>
              <w:jc w:val="both"/>
            </w:pPr>
            <w:r>
              <w:t>a</w:t>
            </w:r>
            <w:r w:rsidRPr="00065941">
              <w:t xml:space="preserve">lla </w:t>
            </w:r>
            <w:r w:rsidR="00433A8B" w:rsidRPr="00065941">
              <w:t>9%</w:t>
            </w:r>
          </w:p>
        </w:tc>
        <w:tc>
          <w:tcPr>
            <w:tcW w:w="1525" w:type="dxa"/>
            <w:tcBorders>
              <w:right w:val="single" w:sz="4" w:space="0" w:color="auto"/>
            </w:tcBorders>
          </w:tcPr>
          <w:p w14:paraId="56EE5586" w14:textId="77777777" w:rsidR="00433A8B" w:rsidRPr="00065941" w:rsidRDefault="00433A8B" w:rsidP="00433A8B">
            <w:pPr>
              <w:jc w:val="both"/>
            </w:pPr>
            <w:r w:rsidRPr="00065941">
              <w:t>10,5% (2012)</w:t>
            </w:r>
          </w:p>
        </w:tc>
      </w:tr>
      <w:tr w:rsidR="00433A8B" w:rsidRPr="00065941" w14:paraId="56EE558B" w14:textId="77777777" w:rsidTr="00433A8B">
        <w:trPr>
          <w:trHeight w:val="162"/>
        </w:trPr>
        <w:tc>
          <w:tcPr>
            <w:tcW w:w="6204" w:type="dxa"/>
            <w:gridSpan w:val="2"/>
            <w:tcBorders>
              <w:left w:val="single" w:sz="4" w:space="0" w:color="auto"/>
            </w:tcBorders>
          </w:tcPr>
          <w:p w14:paraId="56EE5588" w14:textId="77777777" w:rsidR="00433A8B" w:rsidRPr="00065941" w:rsidRDefault="00433A8B" w:rsidP="00433A8B">
            <w:pPr>
              <w:pStyle w:val="ListParagraph"/>
              <w:numPr>
                <w:ilvl w:val="0"/>
                <w:numId w:val="30"/>
              </w:numPr>
            </w:pPr>
            <w:r w:rsidRPr="00065941">
              <w:t>Tipptasemel oskustega õpilaste</w:t>
            </w:r>
            <w:r w:rsidRPr="00065941">
              <w:rPr>
                <w:rStyle w:val="FootnoteReference"/>
              </w:rPr>
              <w:footnoteReference w:id="3"/>
            </w:r>
            <w:r w:rsidRPr="00065941">
              <w:t xml:space="preserve"> osakaal :</w:t>
            </w:r>
          </w:p>
        </w:tc>
        <w:tc>
          <w:tcPr>
            <w:tcW w:w="1559" w:type="dxa"/>
          </w:tcPr>
          <w:p w14:paraId="56EE5589" w14:textId="77777777" w:rsidR="00433A8B" w:rsidRPr="00065941" w:rsidRDefault="00433A8B" w:rsidP="00433A8B">
            <w:pPr>
              <w:jc w:val="both"/>
            </w:pPr>
          </w:p>
        </w:tc>
        <w:tc>
          <w:tcPr>
            <w:tcW w:w="1525" w:type="dxa"/>
            <w:tcBorders>
              <w:right w:val="single" w:sz="4" w:space="0" w:color="auto"/>
            </w:tcBorders>
          </w:tcPr>
          <w:p w14:paraId="56EE558A" w14:textId="77777777" w:rsidR="00433A8B" w:rsidRPr="00065941" w:rsidRDefault="00433A8B" w:rsidP="00433A8B">
            <w:pPr>
              <w:jc w:val="both"/>
            </w:pPr>
          </w:p>
        </w:tc>
      </w:tr>
      <w:tr w:rsidR="00433A8B" w:rsidRPr="00065941" w14:paraId="56EE5590" w14:textId="77777777" w:rsidTr="00433A8B">
        <w:trPr>
          <w:trHeight w:val="340"/>
        </w:trPr>
        <w:tc>
          <w:tcPr>
            <w:tcW w:w="426" w:type="dxa"/>
            <w:tcBorders>
              <w:top w:val="single" w:sz="4" w:space="0" w:color="auto"/>
              <w:left w:val="single" w:sz="4" w:space="0" w:color="auto"/>
              <w:bottom w:val="single" w:sz="4" w:space="0" w:color="auto"/>
              <w:right w:val="single" w:sz="4" w:space="0" w:color="auto"/>
            </w:tcBorders>
          </w:tcPr>
          <w:p w14:paraId="56EE558C" w14:textId="77777777" w:rsidR="00433A8B" w:rsidRPr="00065941" w:rsidRDefault="00433A8B" w:rsidP="00433A8B"/>
        </w:tc>
        <w:tc>
          <w:tcPr>
            <w:tcW w:w="5778" w:type="dxa"/>
            <w:tcBorders>
              <w:top w:val="single" w:sz="4" w:space="0" w:color="auto"/>
              <w:left w:val="single" w:sz="4" w:space="0" w:color="auto"/>
              <w:bottom w:val="single" w:sz="4" w:space="0" w:color="auto"/>
              <w:right w:val="single" w:sz="4" w:space="0" w:color="auto"/>
            </w:tcBorders>
          </w:tcPr>
          <w:p w14:paraId="56EE558D" w14:textId="77777777" w:rsidR="00433A8B" w:rsidRPr="00065941" w:rsidRDefault="00433A8B" w:rsidP="00433A8B">
            <w:pPr>
              <w:pStyle w:val="ListParagraph"/>
              <w:numPr>
                <w:ilvl w:val="0"/>
                <w:numId w:val="31"/>
              </w:numPr>
              <w:ind w:left="283"/>
            </w:pPr>
            <w:r>
              <w:t>funktsionaaln</w:t>
            </w:r>
            <w:r w:rsidRPr="00065941">
              <w:t xml:space="preserve">e lugemisoskus </w:t>
            </w:r>
          </w:p>
        </w:tc>
        <w:tc>
          <w:tcPr>
            <w:tcW w:w="1559" w:type="dxa"/>
            <w:tcBorders>
              <w:top w:val="single" w:sz="4" w:space="0" w:color="auto"/>
              <w:left w:val="single" w:sz="4" w:space="0" w:color="auto"/>
              <w:bottom w:val="single" w:sz="4" w:space="0" w:color="auto"/>
              <w:right w:val="single" w:sz="4" w:space="0" w:color="auto"/>
            </w:tcBorders>
          </w:tcPr>
          <w:p w14:paraId="56EE558E" w14:textId="77777777" w:rsidR="00433A8B" w:rsidRPr="00065941" w:rsidRDefault="00433A8B" w:rsidP="00433A8B">
            <w:pPr>
              <w:jc w:val="both"/>
            </w:pPr>
            <w:r w:rsidRPr="00065941">
              <w:t>10%</w:t>
            </w:r>
          </w:p>
        </w:tc>
        <w:tc>
          <w:tcPr>
            <w:tcW w:w="1525" w:type="dxa"/>
            <w:tcBorders>
              <w:top w:val="single" w:sz="4" w:space="0" w:color="auto"/>
              <w:left w:val="single" w:sz="4" w:space="0" w:color="auto"/>
              <w:bottom w:val="single" w:sz="4" w:space="0" w:color="auto"/>
              <w:right w:val="single" w:sz="4" w:space="0" w:color="auto"/>
            </w:tcBorders>
          </w:tcPr>
          <w:p w14:paraId="56EE558F" w14:textId="77777777" w:rsidR="00433A8B" w:rsidRPr="00065941" w:rsidRDefault="00FF579A" w:rsidP="00FF579A">
            <w:pPr>
              <w:jc w:val="both"/>
            </w:pPr>
            <w:r>
              <w:t>8,4</w:t>
            </w:r>
            <w:r w:rsidR="00433A8B" w:rsidRPr="00065941">
              <w:t>% (20</w:t>
            </w:r>
            <w:r>
              <w:t>12</w:t>
            </w:r>
            <w:r w:rsidR="00433A8B" w:rsidRPr="00065941">
              <w:t>)</w:t>
            </w:r>
          </w:p>
        </w:tc>
      </w:tr>
      <w:tr w:rsidR="00433A8B" w:rsidRPr="00065941" w14:paraId="56EE5595" w14:textId="77777777" w:rsidTr="00433A8B">
        <w:trPr>
          <w:trHeight w:val="184"/>
        </w:trPr>
        <w:tc>
          <w:tcPr>
            <w:tcW w:w="426" w:type="dxa"/>
            <w:tcBorders>
              <w:top w:val="single" w:sz="4" w:space="0" w:color="auto"/>
              <w:left w:val="single" w:sz="4" w:space="0" w:color="auto"/>
              <w:bottom w:val="single" w:sz="4" w:space="0" w:color="auto"/>
              <w:right w:val="single" w:sz="4" w:space="0" w:color="auto"/>
            </w:tcBorders>
          </w:tcPr>
          <w:p w14:paraId="56EE5591" w14:textId="77777777" w:rsidR="00433A8B" w:rsidRPr="00065941" w:rsidRDefault="00433A8B" w:rsidP="00433A8B"/>
        </w:tc>
        <w:tc>
          <w:tcPr>
            <w:tcW w:w="5778" w:type="dxa"/>
            <w:tcBorders>
              <w:top w:val="single" w:sz="4" w:space="0" w:color="auto"/>
              <w:left w:val="single" w:sz="4" w:space="0" w:color="auto"/>
              <w:bottom w:val="single" w:sz="4" w:space="0" w:color="auto"/>
              <w:right w:val="single" w:sz="4" w:space="0" w:color="auto"/>
            </w:tcBorders>
          </w:tcPr>
          <w:p w14:paraId="56EE5592" w14:textId="77777777" w:rsidR="00433A8B" w:rsidRPr="00065941" w:rsidRDefault="00433A8B" w:rsidP="00433A8B">
            <w:pPr>
              <w:pStyle w:val="ListParagraph"/>
              <w:numPr>
                <w:ilvl w:val="0"/>
                <w:numId w:val="31"/>
              </w:numPr>
              <w:ind w:left="283"/>
            </w:pPr>
            <w:r>
              <w:t>matemaatiline kirjaoskus</w:t>
            </w:r>
          </w:p>
        </w:tc>
        <w:tc>
          <w:tcPr>
            <w:tcW w:w="1559" w:type="dxa"/>
            <w:tcBorders>
              <w:top w:val="single" w:sz="4" w:space="0" w:color="auto"/>
              <w:left w:val="single" w:sz="4" w:space="0" w:color="auto"/>
              <w:bottom w:val="single" w:sz="4" w:space="0" w:color="auto"/>
              <w:right w:val="single" w:sz="4" w:space="0" w:color="auto"/>
            </w:tcBorders>
          </w:tcPr>
          <w:p w14:paraId="56EE5593" w14:textId="77777777" w:rsidR="00433A8B" w:rsidRPr="00065941" w:rsidRDefault="00433A8B" w:rsidP="00433A8B">
            <w:pPr>
              <w:jc w:val="both"/>
            </w:pPr>
            <w:r w:rsidRPr="00065941">
              <w:t>16%</w:t>
            </w:r>
          </w:p>
        </w:tc>
        <w:tc>
          <w:tcPr>
            <w:tcW w:w="1525" w:type="dxa"/>
            <w:tcBorders>
              <w:top w:val="single" w:sz="4" w:space="0" w:color="auto"/>
              <w:left w:val="single" w:sz="4" w:space="0" w:color="auto"/>
              <w:bottom w:val="single" w:sz="4" w:space="0" w:color="auto"/>
              <w:right w:val="single" w:sz="4" w:space="0" w:color="auto"/>
            </w:tcBorders>
          </w:tcPr>
          <w:p w14:paraId="56EE5594" w14:textId="77777777" w:rsidR="00433A8B" w:rsidRPr="00065941" w:rsidRDefault="00FF579A" w:rsidP="00FF579A">
            <w:pPr>
              <w:jc w:val="both"/>
            </w:pPr>
            <w:r>
              <w:t>14,6</w:t>
            </w:r>
            <w:r w:rsidR="00433A8B" w:rsidRPr="00065941">
              <w:t>% (20</w:t>
            </w:r>
            <w:r>
              <w:t>12</w:t>
            </w:r>
            <w:r w:rsidR="00433A8B" w:rsidRPr="00065941">
              <w:t>)</w:t>
            </w:r>
          </w:p>
        </w:tc>
      </w:tr>
      <w:tr w:rsidR="00433A8B" w:rsidRPr="00065941" w14:paraId="56EE559A" w14:textId="77777777" w:rsidTr="00433A8B">
        <w:trPr>
          <w:trHeight w:val="212"/>
        </w:trPr>
        <w:tc>
          <w:tcPr>
            <w:tcW w:w="426" w:type="dxa"/>
            <w:tcBorders>
              <w:top w:val="single" w:sz="4" w:space="0" w:color="auto"/>
              <w:left w:val="single" w:sz="4" w:space="0" w:color="auto"/>
              <w:bottom w:val="single" w:sz="4" w:space="0" w:color="auto"/>
              <w:right w:val="single" w:sz="4" w:space="0" w:color="auto"/>
            </w:tcBorders>
          </w:tcPr>
          <w:p w14:paraId="56EE5596" w14:textId="77777777" w:rsidR="00433A8B" w:rsidRPr="00065941" w:rsidRDefault="00433A8B" w:rsidP="00433A8B"/>
        </w:tc>
        <w:tc>
          <w:tcPr>
            <w:tcW w:w="5778" w:type="dxa"/>
            <w:tcBorders>
              <w:top w:val="single" w:sz="4" w:space="0" w:color="auto"/>
              <w:left w:val="single" w:sz="4" w:space="0" w:color="auto"/>
              <w:bottom w:val="single" w:sz="4" w:space="0" w:color="auto"/>
              <w:right w:val="single" w:sz="4" w:space="0" w:color="auto"/>
            </w:tcBorders>
          </w:tcPr>
          <w:p w14:paraId="56EE5597" w14:textId="77777777" w:rsidR="00433A8B" w:rsidRPr="00065941" w:rsidRDefault="00433A8B" w:rsidP="00433A8B">
            <w:pPr>
              <w:pStyle w:val="ListParagraph"/>
              <w:numPr>
                <w:ilvl w:val="0"/>
                <w:numId w:val="31"/>
              </w:numPr>
              <w:ind w:left="283"/>
            </w:pPr>
            <w:r w:rsidRPr="00065941">
              <w:t>loodusteaduslik</w:t>
            </w:r>
            <w:r>
              <w:t xml:space="preserve"> kirjaoskus</w:t>
            </w:r>
          </w:p>
        </w:tc>
        <w:tc>
          <w:tcPr>
            <w:tcW w:w="1559" w:type="dxa"/>
            <w:tcBorders>
              <w:top w:val="single" w:sz="4" w:space="0" w:color="auto"/>
              <w:left w:val="single" w:sz="4" w:space="0" w:color="auto"/>
              <w:bottom w:val="single" w:sz="4" w:space="0" w:color="auto"/>
              <w:right w:val="single" w:sz="4" w:space="0" w:color="auto"/>
            </w:tcBorders>
          </w:tcPr>
          <w:p w14:paraId="56EE5598" w14:textId="77777777" w:rsidR="00433A8B" w:rsidRPr="00065941" w:rsidRDefault="00433A8B" w:rsidP="00433A8B">
            <w:pPr>
              <w:jc w:val="both"/>
            </w:pPr>
            <w:r w:rsidRPr="00065941">
              <w:t>14,4%</w:t>
            </w:r>
          </w:p>
        </w:tc>
        <w:tc>
          <w:tcPr>
            <w:tcW w:w="1525" w:type="dxa"/>
            <w:tcBorders>
              <w:top w:val="single" w:sz="4" w:space="0" w:color="auto"/>
              <w:left w:val="single" w:sz="4" w:space="0" w:color="auto"/>
              <w:bottom w:val="single" w:sz="4" w:space="0" w:color="auto"/>
              <w:right w:val="single" w:sz="4" w:space="0" w:color="auto"/>
            </w:tcBorders>
          </w:tcPr>
          <w:p w14:paraId="56EE5599" w14:textId="77777777" w:rsidR="00433A8B" w:rsidRPr="00065941" w:rsidRDefault="00FF579A" w:rsidP="00FF579A">
            <w:pPr>
              <w:jc w:val="both"/>
            </w:pPr>
            <w:r>
              <w:t>12,8</w:t>
            </w:r>
            <w:r w:rsidR="00433A8B" w:rsidRPr="00065941">
              <w:t>% (20</w:t>
            </w:r>
            <w:r>
              <w:t>12</w:t>
            </w:r>
            <w:r w:rsidR="00433A8B" w:rsidRPr="00065941">
              <w:t>)</w:t>
            </w:r>
          </w:p>
        </w:tc>
      </w:tr>
      <w:tr w:rsidR="00433A8B" w:rsidRPr="00065941" w14:paraId="56EE559E" w14:textId="77777777" w:rsidTr="00433A8B">
        <w:tc>
          <w:tcPr>
            <w:tcW w:w="6204" w:type="dxa"/>
            <w:gridSpan w:val="2"/>
            <w:tcBorders>
              <w:left w:val="single" w:sz="4" w:space="0" w:color="auto"/>
            </w:tcBorders>
          </w:tcPr>
          <w:p w14:paraId="56EE559B" w14:textId="77777777" w:rsidR="00433A8B" w:rsidRPr="00065941" w:rsidRDefault="00433A8B" w:rsidP="007A45BC">
            <w:pPr>
              <w:numPr>
                <w:ilvl w:val="0"/>
                <w:numId w:val="30"/>
              </w:numPr>
              <w:jc w:val="both"/>
            </w:pPr>
            <w:r w:rsidRPr="00065941">
              <w:t>1−3 aastat tagasi õpingud lõpetanud 20</w:t>
            </w:r>
            <w:r w:rsidR="00ED1CEB">
              <w:rPr>
                <w:rFonts w:cs="Calibri-Bold"/>
                <w:bCs/>
              </w:rPr>
              <w:t>−</w:t>
            </w:r>
            <w:r w:rsidRPr="00065941">
              <w:t xml:space="preserve">34aastaste </w:t>
            </w:r>
            <w:r w:rsidR="00633C63">
              <w:t xml:space="preserve">inimeste </w:t>
            </w:r>
            <w:r w:rsidRPr="00065941">
              <w:t xml:space="preserve">tööhõive määr </w:t>
            </w:r>
          </w:p>
        </w:tc>
        <w:tc>
          <w:tcPr>
            <w:tcW w:w="1559" w:type="dxa"/>
          </w:tcPr>
          <w:p w14:paraId="56EE559C" w14:textId="77777777" w:rsidR="00433A8B" w:rsidRPr="00065941" w:rsidRDefault="00ED1CEB" w:rsidP="00433A8B">
            <w:pPr>
              <w:jc w:val="both"/>
            </w:pPr>
            <w:r>
              <w:t>v</w:t>
            </w:r>
            <w:r w:rsidRPr="00065941">
              <w:t xml:space="preserve">ähemalt </w:t>
            </w:r>
            <w:r w:rsidR="00433A8B" w:rsidRPr="00065941">
              <w:t>82%</w:t>
            </w:r>
          </w:p>
        </w:tc>
        <w:tc>
          <w:tcPr>
            <w:tcW w:w="1525" w:type="dxa"/>
            <w:tcBorders>
              <w:right w:val="single" w:sz="4" w:space="0" w:color="auto"/>
            </w:tcBorders>
          </w:tcPr>
          <w:p w14:paraId="56EE559D" w14:textId="77777777" w:rsidR="00433A8B" w:rsidRPr="00065941" w:rsidRDefault="00AE4656" w:rsidP="00433A8B">
            <w:pPr>
              <w:jc w:val="both"/>
            </w:pPr>
            <w:r>
              <w:t>73,9</w:t>
            </w:r>
            <w:r w:rsidR="00433A8B" w:rsidRPr="00065941">
              <w:t>% (2012)</w:t>
            </w:r>
          </w:p>
        </w:tc>
      </w:tr>
      <w:tr w:rsidR="00433A8B" w:rsidRPr="00065941" w14:paraId="56EE55A2" w14:textId="77777777" w:rsidTr="00433A8B">
        <w:tc>
          <w:tcPr>
            <w:tcW w:w="6204" w:type="dxa"/>
            <w:gridSpan w:val="2"/>
            <w:tcBorders>
              <w:left w:val="single" w:sz="4" w:space="0" w:color="auto"/>
            </w:tcBorders>
          </w:tcPr>
          <w:p w14:paraId="56EE559F" w14:textId="77777777" w:rsidR="00433A8B" w:rsidRPr="00065941" w:rsidRDefault="00433A8B" w:rsidP="00433A8B">
            <w:pPr>
              <w:pStyle w:val="ListParagraph"/>
              <w:numPr>
                <w:ilvl w:val="0"/>
                <w:numId w:val="30"/>
              </w:numPr>
            </w:pPr>
            <w:r w:rsidRPr="00065941">
              <w:t>Digipädevustega inimeste osakaal 16−74aastaste earühmas</w:t>
            </w:r>
          </w:p>
        </w:tc>
        <w:tc>
          <w:tcPr>
            <w:tcW w:w="1559" w:type="dxa"/>
          </w:tcPr>
          <w:p w14:paraId="56EE55A0" w14:textId="77777777" w:rsidR="00433A8B" w:rsidRPr="00065941" w:rsidRDefault="00433A8B" w:rsidP="00433A8B">
            <w:pPr>
              <w:jc w:val="both"/>
            </w:pPr>
            <w:r w:rsidRPr="00065941">
              <w:t>80%</w:t>
            </w:r>
          </w:p>
        </w:tc>
        <w:tc>
          <w:tcPr>
            <w:tcW w:w="1525" w:type="dxa"/>
            <w:tcBorders>
              <w:right w:val="single" w:sz="4" w:space="0" w:color="auto"/>
            </w:tcBorders>
          </w:tcPr>
          <w:p w14:paraId="56EE55A1" w14:textId="77777777" w:rsidR="00433A8B" w:rsidRPr="00065941" w:rsidRDefault="00AE4656" w:rsidP="00433A8B">
            <w:pPr>
              <w:jc w:val="both"/>
            </w:pPr>
            <w:r>
              <w:t>65</w:t>
            </w:r>
            <w:r w:rsidR="00433A8B" w:rsidRPr="00065941">
              <w:t>% (2012)</w:t>
            </w:r>
          </w:p>
        </w:tc>
      </w:tr>
      <w:tr w:rsidR="00433A8B" w:rsidRPr="00065941" w14:paraId="56EE55A6" w14:textId="77777777" w:rsidTr="00433A8B">
        <w:tc>
          <w:tcPr>
            <w:tcW w:w="6204" w:type="dxa"/>
            <w:gridSpan w:val="2"/>
            <w:tcBorders>
              <w:left w:val="single" w:sz="4" w:space="0" w:color="auto"/>
              <w:bottom w:val="single" w:sz="4" w:space="0" w:color="auto"/>
            </w:tcBorders>
          </w:tcPr>
          <w:p w14:paraId="56EE55A3" w14:textId="77777777" w:rsidR="00433A8B" w:rsidRPr="00065941" w:rsidRDefault="00E76F69" w:rsidP="00E76F69">
            <w:pPr>
              <w:pStyle w:val="ListParagraph"/>
              <w:numPr>
                <w:ilvl w:val="0"/>
                <w:numId w:val="30"/>
              </w:numPr>
            </w:pPr>
            <w:r>
              <w:t>Üldhariduskooli õpetajate keskmine palk võrdluses kõrgharidusega töötaja keskmise palgaga Eestis</w:t>
            </w:r>
          </w:p>
        </w:tc>
        <w:tc>
          <w:tcPr>
            <w:tcW w:w="1559" w:type="dxa"/>
            <w:tcBorders>
              <w:bottom w:val="single" w:sz="4" w:space="0" w:color="auto"/>
            </w:tcBorders>
          </w:tcPr>
          <w:p w14:paraId="56EE55A4" w14:textId="77777777" w:rsidR="00433A8B" w:rsidRPr="00065941" w:rsidRDefault="00433A8B" w:rsidP="00433A8B">
            <w:pPr>
              <w:jc w:val="both"/>
            </w:pPr>
            <w:r w:rsidRPr="00A5105F">
              <w:t>≥1,0</w:t>
            </w:r>
          </w:p>
        </w:tc>
        <w:tc>
          <w:tcPr>
            <w:tcW w:w="1525" w:type="dxa"/>
            <w:tcBorders>
              <w:bottom w:val="single" w:sz="4" w:space="0" w:color="auto"/>
              <w:right w:val="single" w:sz="4" w:space="0" w:color="auto"/>
            </w:tcBorders>
          </w:tcPr>
          <w:p w14:paraId="56EE55A5" w14:textId="77777777" w:rsidR="00433A8B" w:rsidRPr="00065941" w:rsidRDefault="00433A8B" w:rsidP="00433A8B">
            <w:pPr>
              <w:jc w:val="both"/>
            </w:pPr>
            <w:r>
              <w:t>0,64</w:t>
            </w:r>
            <w:r w:rsidR="00AE4656">
              <w:t xml:space="preserve"> (2011)</w:t>
            </w:r>
          </w:p>
        </w:tc>
      </w:tr>
      <w:tr w:rsidR="00433A8B" w:rsidRPr="00065941" w14:paraId="56EE55AA" w14:textId="77777777" w:rsidTr="00433A8B">
        <w:tc>
          <w:tcPr>
            <w:tcW w:w="6204" w:type="dxa"/>
            <w:gridSpan w:val="2"/>
            <w:tcBorders>
              <w:top w:val="single" w:sz="4" w:space="0" w:color="auto"/>
              <w:left w:val="single" w:sz="4" w:space="0" w:color="auto"/>
              <w:bottom w:val="single" w:sz="4" w:space="0" w:color="auto"/>
              <w:right w:val="single" w:sz="4" w:space="0" w:color="auto"/>
            </w:tcBorders>
          </w:tcPr>
          <w:p w14:paraId="56EE55A7" w14:textId="77777777" w:rsidR="00433A8B" w:rsidRPr="00065941" w:rsidRDefault="00433A8B" w:rsidP="00433A8B">
            <w:pPr>
              <w:pStyle w:val="ListParagraph"/>
              <w:numPr>
                <w:ilvl w:val="0"/>
                <w:numId w:val="30"/>
              </w:numPr>
            </w:pPr>
            <w:r>
              <w:t>Erinevate osapoolte</w:t>
            </w:r>
            <w:r w:rsidRPr="00065941">
              <w:t xml:space="preserve"> rahulolu elukestva õppe toimimisega</w:t>
            </w:r>
            <w:r w:rsidRPr="00065941">
              <w:rPr>
                <w:rStyle w:val="FootnoteReference"/>
              </w:rPr>
              <w:footnoteReference w:id="4"/>
            </w:r>
            <w:r w:rsidRPr="00065941">
              <w:t xml:space="preserve"> </w:t>
            </w:r>
          </w:p>
        </w:tc>
        <w:tc>
          <w:tcPr>
            <w:tcW w:w="1559" w:type="dxa"/>
            <w:tcBorders>
              <w:top w:val="single" w:sz="4" w:space="0" w:color="auto"/>
              <w:left w:val="single" w:sz="4" w:space="0" w:color="auto"/>
              <w:bottom w:val="single" w:sz="4" w:space="0" w:color="auto"/>
              <w:right w:val="single" w:sz="4" w:space="0" w:color="auto"/>
            </w:tcBorders>
          </w:tcPr>
          <w:p w14:paraId="56EE55A8" w14:textId="77777777" w:rsidR="00433A8B" w:rsidRPr="00065941" w:rsidRDefault="00ED1CEB" w:rsidP="00433A8B">
            <w:pPr>
              <w:jc w:val="both"/>
            </w:pPr>
            <w:r>
              <w:t xml:space="preserve">rahulolu </w:t>
            </w:r>
            <w:r w:rsidR="00433A8B">
              <w:t>on kasvanud</w:t>
            </w:r>
          </w:p>
        </w:tc>
        <w:tc>
          <w:tcPr>
            <w:tcW w:w="1525" w:type="dxa"/>
            <w:tcBorders>
              <w:top w:val="single" w:sz="4" w:space="0" w:color="auto"/>
              <w:left w:val="single" w:sz="4" w:space="0" w:color="auto"/>
              <w:bottom w:val="single" w:sz="4" w:space="0" w:color="auto"/>
              <w:right w:val="single" w:sz="4" w:space="0" w:color="auto"/>
            </w:tcBorders>
          </w:tcPr>
          <w:p w14:paraId="56EE55A9" w14:textId="77777777" w:rsidR="00433A8B" w:rsidRPr="00065941" w:rsidRDefault="00433A8B" w:rsidP="00433A8B">
            <w:pPr>
              <w:jc w:val="both"/>
            </w:pPr>
          </w:p>
        </w:tc>
      </w:tr>
    </w:tbl>
    <w:p w14:paraId="56EE55AB" w14:textId="77777777" w:rsidR="00966599" w:rsidRDefault="00966599" w:rsidP="000E5D39">
      <w:pPr>
        <w:pStyle w:val="BodyText"/>
        <w:spacing w:after="240"/>
        <w:jc w:val="both"/>
        <w:rPr>
          <w:rFonts w:asciiTheme="minorHAnsi" w:hAnsiTheme="minorHAnsi"/>
          <w:snapToGrid w:val="0"/>
          <w:sz w:val="22"/>
          <w:szCs w:val="22"/>
        </w:rPr>
      </w:pPr>
    </w:p>
    <w:p w14:paraId="56EE55AC" w14:textId="77777777" w:rsidR="00B03696" w:rsidRPr="001E4E63" w:rsidRDefault="00B03696" w:rsidP="000E5D39">
      <w:pPr>
        <w:pStyle w:val="BodyText"/>
        <w:spacing w:after="240"/>
        <w:jc w:val="both"/>
        <w:rPr>
          <w:rFonts w:asciiTheme="minorHAnsi" w:hAnsiTheme="minorHAnsi"/>
          <w:snapToGrid w:val="0"/>
          <w:sz w:val="22"/>
          <w:szCs w:val="22"/>
        </w:rPr>
      </w:pPr>
      <w:r w:rsidRPr="001E4E63">
        <w:rPr>
          <w:rFonts w:asciiTheme="minorHAnsi" w:hAnsiTheme="minorHAnsi"/>
          <w:snapToGrid w:val="0"/>
          <w:sz w:val="22"/>
          <w:szCs w:val="22"/>
        </w:rPr>
        <w:t xml:space="preserve">Elukestva õppe süsteemi arendamisel on olulised järgmised põhimõtted: </w:t>
      </w:r>
    </w:p>
    <w:p w14:paraId="56EE55AD" w14:textId="77777777" w:rsidR="00B03696" w:rsidRPr="001E4E63" w:rsidRDefault="00B03696" w:rsidP="000E5D39">
      <w:pPr>
        <w:pStyle w:val="ListParagraph"/>
        <w:numPr>
          <w:ilvl w:val="0"/>
          <w:numId w:val="2"/>
        </w:numPr>
        <w:spacing w:after="0"/>
        <w:jc w:val="both"/>
        <w:rPr>
          <w:snapToGrid w:val="0"/>
        </w:rPr>
      </w:pPr>
      <w:r w:rsidRPr="001E4E63">
        <w:rPr>
          <w:snapToGrid w:val="0"/>
        </w:rPr>
        <w:lastRenderedPageBreak/>
        <w:t xml:space="preserve">õppija aktiivne osalus ja vastutus; </w:t>
      </w:r>
    </w:p>
    <w:p w14:paraId="56EE55AE" w14:textId="77777777" w:rsidR="00B03696" w:rsidRPr="001E4E63" w:rsidRDefault="00B03696" w:rsidP="000E5D39">
      <w:pPr>
        <w:pStyle w:val="ListParagraph"/>
        <w:numPr>
          <w:ilvl w:val="0"/>
          <w:numId w:val="2"/>
        </w:numPr>
        <w:spacing w:after="0"/>
        <w:jc w:val="both"/>
        <w:rPr>
          <w:snapToGrid w:val="0"/>
        </w:rPr>
      </w:pPr>
      <w:r w:rsidRPr="001E4E63">
        <w:rPr>
          <w:snapToGrid w:val="0"/>
        </w:rPr>
        <w:t>koostöö ja üksteiselt õppimine;</w:t>
      </w:r>
    </w:p>
    <w:p w14:paraId="56EE55AF" w14:textId="77777777" w:rsidR="00B03696" w:rsidRPr="001E4E63" w:rsidRDefault="00B03696" w:rsidP="000E5D39">
      <w:pPr>
        <w:pStyle w:val="ListParagraph"/>
        <w:numPr>
          <w:ilvl w:val="0"/>
          <w:numId w:val="2"/>
        </w:numPr>
        <w:spacing w:after="0"/>
        <w:jc w:val="both"/>
        <w:rPr>
          <w:snapToGrid w:val="0"/>
        </w:rPr>
      </w:pPr>
      <w:r w:rsidRPr="001E4E63">
        <w:t xml:space="preserve">õpivõimaluste kvaliteet, paindlikkus, info läbipaistvus ja usaldusväärsus; </w:t>
      </w:r>
    </w:p>
    <w:p w14:paraId="56EE55B0" w14:textId="77777777" w:rsidR="00B03696" w:rsidRPr="001E4E63" w:rsidRDefault="00B03696" w:rsidP="000E5D39">
      <w:pPr>
        <w:pStyle w:val="ListParagraph"/>
        <w:numPr>
          <w:ilvl w:val="0"/>
          <w:numId w:val="2"/>
        </w:numPr>
        <w:spacing w:after="0"/>
        <w:jc w:val="both"/>
        <w:rPr>
          <w:snapToGrid w:val="0"/>
        </w:rPr>
      </w:pPr>
      <w:r w:rsidRPr="001E4E63">
        <w:t xml:space="preserve">inimeste erivajadustega arvestamine õppetöö korralduses ja </w:t>
      </w:r>
      <w:r w:rsidR="00694A3C" w:rsidRPr="001E4E63">
        <w:t>õpi</w:t>
      </w:r>
      <w:r w:rsidRPr="001E4E63">
        <w:t>keskkonnas;</w:t>
      </w:r>
    </w:p>
    <w:p w14:paraId="56EE55B1" w14:textId="77777777" w:rsidR="00C15C5B" w:rsidRPr="00C73230" w:rsidRDefault="0095704E" w:rsidP="000E5D39">
      <w:pPr>
        <w:pStyle w:val="ListParagraph"/>
        <w:numPr>
          <w:ilvl w:val="0"/>
          <w:numId w:val="2"/>
        </w:numPr>
        <w:spacing w:after="0"/>
        <w:jc w:val="both"/>
        <w:rPr>
          <w:snapToGrid w:val="0"/>
        </w:rPr>
      </w:pPr>
      <w:r w:rsidRPr="00C73230">
        <w:rPr>
          <w:snapToGrid w:val="0"/>
        </w:rPr>
        <w:t>sooline tasakaal</w:t>
      </w:r>
      <w:r w:rsidR="00C73230">
        <w:rPr>
          <w:snapToGrid w:val="0"/>
        </w:rPr>
        <w:t>;</w:t>
      </w:r>
    </w:p>
    <w:p w14:paraId="56EE55B2" w14:textId="77777777" w:rsidR="00B03696" w:rsidRPr="001E4E63" w:rsidRDefault="00B03696" w:rsidP="000E5D39">
      <w:pPr>
        <w:pStyle w:val="ListParagraph"/>
        <w:numPr>
          <w:ilvl w:val="0"/>
          <w:numId w:val="2"/>
        </w:numPr>
        <w:spacing w:after="0"/>
        <w:jc w:val="both"/>
        <w:rPr>
          <w:snapToGrid w:val="0"/>
        </w:rPr>
      </w:pPr>
      <w:r w:rsidRPr="001E4E63">
        <w:t>avatus</w:t>
      </w:r>
      <w:r w:rsidR="00C15C5B">
        <w:t>, sallivus</w:t>
      </w:r>
      <w:r w:rsidRPr="001E4E63">
        <w:t xml:space="preserve"> ja rahvusvaheline koostöö;</w:t>
      </w:r>
    </w:p>
    <w:p w14:paraId="56EE55B3" w14:textId="77777777" w:rsidR="00B03696" w:rsidRPr="001E4E63" w:rsidRDefault="00C15C5B" w:rsidP="000E5D39">
      <w:pPr>
        <w:pStyle w:val="ListParagraph"/>
        <w:numPr>
          <w:ilvl w:val="0"/>
          <w:numId w:val="2"/>
        </w:numPr>
        <w:spacing w:after="0"/>
        <w:jc w:val="both"/>
        <w:rPr>
          <w:snapToGrid w:val="0"/>
        </w:rPr>
      </w:pPr>
      <w:r>
        <w:t>E</w:t>
      </w:r>
      <w:r w:rsidR="00B03696" w:rsidRPr="001E4E63">
        <w:t>esti</w:t>
      </w:r>
      <w:r>
        <w:t xml:space="preserve"> riigi,</w:t>
      </w:r>
      <w:r w:rsidR="00B03696" w:rsidRPr="001E4E63">
        <w:t xml:space="preserve"> keele ja kultuuri jätkusuutlikkus;</w:t>
      </w:r>
    </w:p>
    <w:p w14:paraId="56EE55B4" w14:textId="77777777" w:rsidR="00B03696" w:rsidRPr="000E5D39" w:rsidRDefault="00B03696" w:rsidP="000E5D39">
      <w:pPr>
        <w:pStyle w:val="ListParagraph"/>
        <w:numPr>
          <w:ilvl w:val="0"/>
          <w:numId w:val="2"/>
        </w:numPr>
        <w:spacing w:after="0"/>
        <w:jc w:val="both"/>
        <w:rPr>
          <w:snapToGrid w:val="0"/>
        </w:rPr>
      </w:pPr>
      <w:r w:rsidRPr="001E4E63">
        <w:t xml:space="preserve">säästev areng; </w:t>
      </w:r>
    </w:p>
    <w:p w14:paraId="56EE55B5" w14:textId="77777777" w:rsidR="000E5D39" w:rsidRPr="001E4E63" w:rsidRDefault="000E5D39" w:rsidP="000E5D39">
      <w:pPr>
        <w:pStyle w:val="ListParagraph"/>
        <w:numPr>
          <w:ilvl w:val="0"/>
          <w:numId w:val="2"/>
        </w:numPr>
        <w:spacing w:after="0"/>
        <w:jc w:val="both"/>
        <w:rPr>
          <w:snapToGrid w:val="0"/>
        </w:rPr>
      </w:pPr>
      <w:r>
        <w:t>tõenduspõhine otsustamine.</w:t>
      </w:r>
    </w:p>
    <w:p w14:paraId="56EE55B6" w14:textId="77777777" w:rsidR="00781F0D" w:rsidRDefault="00781F0D" w:rsidP="000E5D39">
      <w:pPr>
        <w:pStyle w:val="BodyText"/>
        <w:spacing w:after="240" w:line="276" w:lineRule="auto"/>
        <w:jc w:val="both"/>
        <w:rPr>
          <w:rFonts w:ascii="Calibri" w:hAnsi="Calibri"/>
          <w:sz w:val="22"/>
          <w:szCs w:val="22"/>
        </w:rPr>
      </w:pPr>
    </w:p>
    <w:p w14:paraId="56EE55B7" w14:textId="77777777" w:rsidR="00C15C5B" w:rsidRDefault="00C15C5B" w:rsidP="000E5D39">
      <w:pPr>
        <w:pStyle w:val="BodyText"/>
        <w:spacing w:after="240" w:line="276" w:lineRule="auto"/>
        <w:jc w:val="both"/>
      </w:pPr>
      <w:r w:rsidRPr="001E4E63">
        <w:rPr>
          <w:rFonts w:ascii="Calibri" w:hAnsi="Calibri"/>
          <w:sz w:val="22"/>
          <w:szCs w:val="22"/>
        </w:rPr>
        <w:t>Strateegia rakendamise edukus sõltub sellest, kas kõik olulised osapooled võtavad vastutus</w:t>
      </w:r>
      <w:r>
        <w:rPr>
          <w:rFonts w:ascii="Calibri" w:hAnsi="Calibri"/>
          <w:sz w:val="22"/>
          <w:szCs w:val="22"/>
        </w:rPr>
        <w:t>e</w:t>
      </w:r>
      <w:r w:rsidRPr="001E4E63">
        <w:rPr>
          <w:rFonts w:ascii="Calibri" w:hAnsi="Calibri"/>
          <w:sz w:val="22"/>
          <w:szCs w:val="22"/>
        </w:rPr>
        <w:t xml:space="preserve"> järgnevate ülesannete täitmise eest:</w:t>
      </w:r>
    </w:p>
    <w:p w14:paraId="56EE55B8" w14:textId="77777777" w:rsidR="00C15C5B" w:rsidRDefault="00C15C5B" w:rsidP="00515C8F">
      <w:pPr>
        <w:numPr>
          <w:ilvl w:val="0"/>
          <w:numId w:val="29"/>
        </w:numPr>
        <w:spacing w:after="0"/>
        <w:jc w:val="both"/>
        <w:rPr>
          <w:rFonts w:ascii="Calibri" w:eastAsia="Times New Roman" w:hAnsi="Calibri" w:cs="Times New Roman"/>
        </w:rPr>
      </w:pPr>
      <w:r>
        <w:t>õppija osaleb õppes vastutustundlikult ning kujundab teadlikult oma õpiteed</w:t>
      </w:r>
      <w:r>
        <w:rPr>
          <w:rFonts w:ascii="Calibri" w:eastAsia="Times New Roman" w:hAnsi="Calibri" w:cs="Times New Roman"/>
        </w:rPr>
        <w:t>;</w:t>
      </w:r>
    </w:p>
    <w:p w14:paraId="56EE55B9" w14:textId="77777777" w:rsidR="00C15C5B" w:rsidRDefault="00C15C5B" w:rsidP="00515C8F">
      <w:pPr>
        <w:numPr>
          <w:ilvl w:val="0"/>
          <w:numId w:val="29"/>
        </w:numPr>
        <w:spacing w:after="0"/>
        <w:jc w:val="both"/>
        <w:rPr>
          <w:rFonts w:ascii="Calibri" w:eastAsia="Times New Roman" w:hAnsi="Calibri" w:cs="Times New Roman"/>
        </w:rPr>
      </w:pPr>
      <w:r>
        <w:rPr>
          <w:rFonts w:ascii="Calibri" w:eastAsia="Times New Roman" w:hAnsi="Calibri" w:cs="Times New Roman"/>
        </w:rPr>
        <w:t xml:space="preserve">lapsevanem toetab õppijat,  </w:t>
      </w:r>
      <w:r w:rsidR="002F4085">
        <w:rPr>
          <w:rFonts w:ascii="Calibri" w:eastAsia="Times New Roman" w:hAnsi="Calibri" w:cs="Times New Roman"/>
        </w:rPr>
        <w:t xml:space="preserve">sh </w:t>
      </w:r>
      <w:r>
        <w:rPr>
          <w:rFonts w:ascii="Calibri" w:eastAsia="Times New Roman" w:hAnsi="Calibri" w:cs="Times New Roman"/>
        </w:rPr>
        <w:t xml:space="preserve">tagab põhihariduse ulatuses lapse koolikohustuse täitmise;  </w:t>
      </w:r>
    </w:p>
    <w:p w14:paraId="56EE55BA" w14:textId="77777777" w:rsidR="00C15C5B" w:rsidRDefault="00C15C5B" w:rsidP="00515C8F">
      <w:pPr>
        <w:numPr>
          <w:ilvl w:val="0"/>
          <w:numId w:val="29"/>
        </w:numPr>
        <w:spacing w:after="0"/>
        <w:jc w:val="both"/>
        <w:rPr>
          <w:rFonts w:ascii="Calibri" w:eastAsia="Times New Roman" w:hAnsi="Calibri" w:cs="Times New Roman"/>
        </w:rPr>
      </w:pPr>
      <w:r>
        <w:rPr>
          <w:rFonts w:ascii="Calibri" w:eastAsia="Times New Roman" w:hAnsi="Calibri" w:cs="Times New Roman"/>
        </w:rPr>
        <w:t xml:space="preserve">õpetaja kujundab </w:t>
      </w:r>
      <w:r>
        <w:rPr>
          <w:rFonts w:ascii="Calibri" w:eastAsia="Times New Roman" w:hAnsi="Calibri" w:cs="Segoe UI"/>
        </w:rPr>
        <w:t>õppimist ja arengut toetava õpikeskkonna, seab õppija võimekust arvestavad õpieesmärgid ning arendab sihipäraselt oma kutseoskusi</w:t>
      </w:r>
      <w:r>
        <w:rPr>
          <w:rFonts w:ascii="Calibri" w:eastAsia="Times New Roman" w:hAnsi="Calibri" w:cs="Times New Roman"/>
        </w:rPr>
        <w:t>;</w:t>
      </w:r>
    </w:p>
    <w:p w14:paraId="56EE55BB" w14:textId="77777777" w:rsidR="00C15C5B" w:rsidRDefault="00C15C5B" w:rsidP="00515C8F">
      <w:pPr>
        <w:numPr>
          <w:ilvl w:val="0"/>
          <w:numId w:val="29"/>
        </w:numPr>
        <w:spacing w:after="0"/>
        <w:jc w:val="both"/>
        <w:rPr>
          <w:rFonts w:ascii="Calibri" w:eastAsia="Times New Roman" w:hAnsi="Calibri" w:cs="Times New Roman"/>
        </w:rPr>
      </w:pPr>
      <w:r>
        <w:rPr>
          <w:rFonts w:ascii="Calibri" w:eastAsia="Times New Roman" w:hAnsi="Calibri" w:cs="Segoe UI"/>
        </w:rPr>
        <w:t>õppeasutuse juht tagab õppeasutuse strateegilise juhtimise, kujundab õppimist ja arengut toetava organisatsioonikultuuri  ning toetab õpetajate professionaalset arengut;</w:t>
      </w:r>
    </w:p>
    <w:p w14:paraId="56EE55BC" w14:textId="77777777" w:rsidR="00C15C5B" w:rsidRDefault="00C15C5B" w:rsidP="00515C8F">
      <w:pPr>
        <w:numPr>
          <w:ilvl w:val="0"/>
          <w:numId w:val="29"/>
        </w:numPr>
        <w:spacing w:after="0"/>
        <w:jc w:val="both"/>
        <w:rPr>
          <w:rFonts w:ascii="Calibri" w:eastAsia="Times New Roman" w:hAnsi="Calibri" w:cs="Times New Roman"/>
        </w:rPr>
      </w:pPr>
      <w:r>
        <w:rPr>
          <w:rFonts w:ascii="Calibri" w:eastAsia="Times New Roman" w:hAnsi="Calibri" w:cs="Times New Roman"/>
        </w:rPr>
        <w:t>kohalik omavalitsus tagab kodulähedase kvaliteetse alus- ja põhihariduse ning vajalike tugiteenuste  kättesaadavuse;</w:t>
      </w:r>
    </w:p>
    <w:p w14:paraId="56EE55BD" w14:textId="77777777" w:rsidR="00C15C5B" w:rsidRDefault="00C15C5B" w:rsidP="00515C8F">
      <w:pPr>
        <w:numPr>
          <w:ilvl w:val="0"/>
          <w:numId w:val="29"/>
        </w:numPr>
        <w:spacing w:after="0"/>
        <w:jc w:val="both"/>
        <w:rPr>
          <w:rFonts w:ascii="Calibri" w:eastAsia="Times New Roman" w:hAnsi="Calibri" w:cs="Times New Roman"/>
        </w:rPr>
      </w:pPr>
      <w:r>
        <w:rPr>
          <w:rFonts w:ascii="Calibri" w:eastAsia="Times New Roman" w:hAnsi="Calibri" w:cs="Times New Roman"/>
        </w:rPr>
        <w:t xml:space="preserve">tööandjad esitavad haridussüsteemile selged ootused ning pakuvad õppijatele </w:t>
      </w:r>
      <w:r w:rsidR="00331E25">
        <w:rPr>
          <w:rFonts w:ascii="Calibri" w:eastAsia="Times New Roman" w:hAnsi="Calibri" w:cs="Times New Roman"/>
        </w:rPr>
        <w:t>praktikakohti, õpipoisikoolituse võimalust</w:t>
      </w:r>
      <w:r>
        <w:rPr>
          <w:rFonts w:ascii="Calibri" w:eastAsia="Times New Roman" w:hAnsi="Calibri" w:cs="Times New Roman"/>
        </w:rPr>
        <w:t xml:space="preserve"> jmt ning loovad oma töötajatele elukestvas õppes </w:t>
      </w:r>
      <w:r w:rsidR="00DD1731">
        <w:rPr>
          <w:rFonts w:ascii="Calibri" w:eastAsia="Times New Roman" w:hAnsi="Calibri" w:cs="Times New Roman"/>
        </w:rPr>
        <w:t>osalemise võimalusi</w:t>
      </w:r>
      <w:r>
        <w:rPr>
          <w:rFonts w:ascii="Calibri" w:eastAsia="Times New Roman" w:hAnsi="Calibri" w:cs="Times New Roman"/>
        </w:rPr>
        <w:t xml:space="preserve">; </w:t>
      </w:r>
    </w:p>
    <w:p w14:paraId="56EE55BE" w14:textId="77777777" w:rsidR="00C15C5B" w:rsidRPr="001348D9" w:rsidRDefault="00C15C5B" w:rsidP="001348D9">
      <w:pPr>
        <w:numPr>
          <w:ilvl w:val="0"/>
          <w:numId w:val="29"/>
        </w:numPr>
        <w:spacing w:after="0"/>
        <w:jc w:val="both"/>
        <w:rPr>
          <w:rFonts w:ascii="Calibri" w:eastAsia="Times New Roman" w:hAnsi="Calibri" w:cs="Times New Roman"/>
        </w:rPr>
      </w:pPr>
      <w:r>
        <w:rPr>
          <w:rFonts w:ascii="Calibri" w:eastAsia="Times New Roman" w:hAnsi="Calibri" w:cs="Times New Roman"/>
        </w:rPr>
        <w:t xml:space="preserve">riik tagab oma regulatsioonidega kõigile inimestele    kvaliteetse ja valikuterohke kesk-, kutse- ja kõrghariduse </w:t>
      </w:r>
      <w:r w:rsidR="00DD1731">
        <w:rPr>
          <w:rFonts w:ascii="Calibri" w:eastAsia="Times New Roman" w:hAnsi="Calibri" w:cs="Times New Roman"/>
        </w:rPr>
        <w:t xml:space="preserve">omandamise võimalused </w:t>
      </w:r>
      <w:r>
        <w:rPr>
          <w:rFonts w:ascii="Calibri" w:eastAsia="Times New Roman" w:hAnsi="Calibri" w:cs="Times New Roman"/>
        </w:rPr>
        <w:t>ning asjaliku tööturuinfo ja karjäärinõustamise.</w:t>
      </w:r>
      <w:r w:rsidR="00DD1731">
        <w:rPr>
          <w:rFonts w:ascii="Calibri" w:eastAsia="Times New Roman" w:hAnsi="Calibri" w:cs="Times New Roman"/>
        </w:rPr>
        <w:t xml:space="preserve"> </w:t>
      </w:r>
    </w:p>
    <w:p w14:paraId="56EE55BF" w14:textId="77777777" w:rsidR="00263952" w:rsidRDefault="00263952">
      <w:pPr>
        <w:rPr>
          <w:rFonts w:asciiTheme="majorHAnsi" w:eastAsiaTheme="majorEastAsia" w:hAnsiTheme="majorHAnsi" w:cstheme="majorBidi"/>
          <w:b/>
          <w:bCs/>
          <w:color w:val="365F91" w:themeColor="accent1" w:themeShade="BF"/>
          <w:sz w:val="28"/>
          <w:szCs w:val="28"/>
        </w:rPr>
      </w:pPr>
      <w:r>
        <w:br w:type="page"/>
      </w:r>
    </w:p>
    <w:p w14:paraId="56EE55C0" w14:textId="77777777" w:rsidR="00B03696" w:rsidRPr="00BD3BC1" w:rsidRDefault="00471561" w:rsidP="0053311E">
      <w:pPr>
        <w:pStyle w:val="Heading1"/>
      </w:pPr>
      <w:bookmarkStart w:id="3" w:name="_Toc376952244"/>
      <w:r>
        <w:lastRenderedPageBreak/>
        <w:t>Visioon</w:t>
      </w:r>
      <w:r w:rsidR="00433A8B">
        <w:t xml:space="preserve"> ja</w:t>
      </w:r>
      <w:r>
        <w:t xml:space="preserve"> strateegilised eesmärgid </w:t>
      </w:r>
      <w:r w:rsidR="00FD6A4D">
        <w:t>2020</w:t>
      </w:r>
      <w:bookmarkEnd w:id="3"/>
      <w:r w:rsidR="00FD6A4D">
        <w:t xml:space="preserve"> </w:t>
      </w:r>
      <w:r w:rsidR="00433A8B">
        <w:t xml:space="preserve"> </w:t>
      </w:r>
    </w:p>
    <w:p w14:paraId="56EE55C1" w14:textId="77777777" w:rsidR="00BD3BC1" w:rsidRDefault="00BD3BC1" w:rsidP="00BD3BC1">
      <w:pPr>
        <w:spacing w:after="0" w:line="252" w:lineRule="auto"/>
        <w:rPr>
          <w:rFonts w:ascii="Calibri" w:hAnsi="Calibri"/>
        </w:rPr>
      </w:pPr>
    </w:p>
    <w:p w14:paraId="56EE55C2" w14:textId="77777777" w:rsidR="000C4589" w:rsidRDefault="00423859" w:rsidP="00E47CAF">
      <w:pPr>
        <w:spacing w:after="0" w:line="252" w:lineRule="auto"/>
        <w:rPr>
          <w:b/>
          <w:color w:val="1F497D" w:themeColor="text2"/>
          <w:sz w:val="24"/>
          <w:szCs w:val="24"/>
        </w:rPr>
      </w:pPr>
      <w:r>
        <w:rPr>
          <w:b/>
          <w:color w:val="1F497D" w:themeColor="text2"/>
          <w:sz w:val="24"/>
          <w:szCs w:val="24"/>
        </w:rPr>
        <w:t>Visioon 2020</w:t>
      </w:r>
      <w:r w:rsidR="00E47CAF">
        <w:rPr>
          <w:b/>
          <w:color w:val="1F497D" w:themeColor="text2"/>
          <w:sz w:val="24"/>
          <w:szCs w:val="24"/>
        </w:rPr>
        <w:t xml:space="preserve">: </w:t>
      </w:r>
      <w:r w:rsidRPr="00EE6268">
        <w:rPr>
          <w:b/>
          <w:color w:val="1F497D" w:themeColor="text2"/>
          <w:sz w:val="24"/>
          <w:szCs w:val="24"/>
        </w:rPr>
        <w:t xml:space="preserve">Õppimine on eluviis. Märkame </w:t>
      </w:r>
      <w:r w:rsidR="00FF579A">
        <w:rPr>
          <w:b/>
          <w:color w:val="1F497D" w:themeColor="text2"/>
          <w:sz w:val="24"/>
          <w:szCs w:val="24"/>
        </w:rPr>
        <w:t>arengu</w:t>
      </w:r>
      <w:r w:rsidRPr="00EE6268">
        <w:rPr>
          <w:b/>
          <w:color w:val="1F497D" w:themeColor="text2"/>
          <w:sz w:val="24"/>
          <w:szCs w:val="24"/>
        </w:rPr>
        <w:t xml:space="preserve">võimalusi ja </w:t>
      </w:r>
      <w:r w:rsidR="00FF579A">
        <w:rPr>
          <w:b/>
          <w:color w:val="1F497D" w:themeColor="text2"/>
          <w:sz w:val="24"/>
          <w:szCs w:val="24"/>
        </w:rPr>
        <w:t>otsime</w:t>
      </w:r>
      <w:r w:rsidRPr="00EE6268">
        <w:rPr>
          <w:b/>
          <w:color w:val="1F497D" w:themeColor="text2"/>
          <w:sz w:val="24"/>
          <w:szCs w:val="24"/>
        </w:rPr>
        <w:t xml:space="preserve"> nutikaid lahendusi.</w:t>
      </w:r>
    </w:p>
    <w:p w14:paraId="56EE55C3" w14:textId="77777777" w:rsidR="00423859" w:rsidRDefault="00423859" w:rsidP="00E47CAF">
      <w:pPr>
        <w:spacing w:after="0" w:line="252" w:lineRule="auto"/>
        <w:rPr>
          <w:rFonts w:ascii="Calibri" w:hAnsi="Calibri"/>
          <w:b/>
          <w:sz w:val="28"/>
          <w:szCs w:val="28"/>
        </w:rPr>
      </w:pPr>
      <w:r w:rsidRPr="00937147">
        <w:rPr>
          <w:rFonts w:ascii="Calibri" w:hAnsi="Calibri"/>
          <w:b/>
          <w:sz w:val="28"/>
          <w:szCs w:val="28"/>
        </w:rPr>
        <w:t xml:space="preserve"> </w:t>
      </w:r>
    </w:p>
    <w:p w14:paraId="56EE55C4" w14:textId="77777777" w:rsidR="00E47CAF" w:rsidRPr="001348D9" w:rsidRDefault="00E47CAF" w:rsidP="001348D9">
      <w:pPr>
        <w:spacing w:after="0" w:line="252" w:lineRule="auto"/>
        <w:rPr>
          <w:rFonts w:ascii="Calibri" w:hAnsi="Calibri"/>
        </w:rPr>
      </w:pPr>
      <w:r>
        <w:rPr>
          <w:rFonts w:ascii="Calibri" w:hAnsi="Calibri"/>
          <w:noProof/>
          <w:lang w:eastAsia="et-EE"/>
        </w:rPr>
        <mc:AlternateContent>
          <mc:Choice Requires="wps">
            <w:drawing>
              <wp:anchor distT="0" distB="0" distL="114300" distR="114300" simplePos="0" relativeHeight="251659264" behindDoc="0" locked="0" layoutInCell="1" allowOverlap="1" wp14:anchorId="56EE58FA" wp14:editId="56EE58FB">
                <wp:simplePos x="0" y="0"/>
                <wp:positionH relativeFrom="column">
                  <wp:posOffset>-71120</wp:posOffset>
                </wp:positionH>
                <wp:positionV relativeFrom="paragraph">
                  <wp:posOffset>12065</wp:posOffset>
                </wp:positionV>
                <wp:extent cx="5516880" cy="139065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5516880" cy="1390650"/>
                        </a:xfrm>
                        <a:prstGeom prst="homePlate">
                          <a:avLst/>
                        </a:prstGeom>
                        <a:ln/>
                      </wps:spPr>
                      <wps:style>
                        <a:lnRef idx="2">
                          <a:schemeClr val="accent1"/>
                        </a:lnRef>
                        <a:fillRef idx="1">
                          <a:schemeClr val="lt1"/>
                        </a:fillRef>
                        <a:effectRef idx="0">
                          <a:schemeClr val="accent1"/>
                        </a:effectRef>
                        <a:fontRef idx="minor">
                          <a:schemeClr val="dk1"/>
                        </a:fontRef>
                      </wps:style>
                      <wps:txbx>
                        <w:txbxContent>
                          <w:p w14:paraId="56EE5937" w14:textId="77777777" w:rsidR="0035250E" w:rsidRDefault="0035250E" w:rsidP="00E47CAF">
                            <w:pPr>
                              <w:spacing w:after="0" w:line="252" w:lineRule="auto"/>
                              <w:ind w:left="2124" w:hanging="2124"/>
                              <w:rPr>
                                <w:rFonts w:ascii="Calibri" w:hAnsi="Calibri"/>
                              </w:rPr>
                            </w:pPr>
                            <w:r>
                              <w:rPr>
                                <w:rFonts w:ascii="Calibri" w:hAnsi="Calibri"/>
                                <w:b/>
                              </w:rPr>
                              <w:t>Elukestva õppe VVV:</w:t>
                            </w:r>
                            <w:r>
                              <w:rPr>
                                <w:rFonts w:ascii="Calibri" w:hAnsi="Calibri"/>
                                <w:b/>
                              </w:rPr>
                              <w:tab/>
                            </w:r>
                            <w:r w:rsidRPr="00BD3BC1">
                              <w:rPr>
                                <w:rFonts w:ascii="Calibri" w:hAnsi="Calibri"/>
                                <w:b/>
                              </w:rPr>
                              <w:t>Vastutus</w:t>
                            </w:r>
                            <w:r>
                              <w:rPr>
                                <w:rFonts w:ascii="Calibri" w:hAnsi="Calibri"/>
                              </w:rPr>
                              <w:t xml:space="preserve"> – Inimesed mõistavad, et õppimine ja enesearendamine on nende endi teadlik valik ja vastutus.</w:t>
                            </w:r>
                          </w:p>
                          <w:p w14:paraId="56EE5938" w14:textId="77777777" w:rsidR="0035250E" w:rsidRDefault="0035250E" w:rsidP="00E47CAF">
                            <w:pPr>
                              <w:spacing w:after="0" w:line="252" w:lineRule="auto"/>
                              <w:ind w:left="2124" w:hanging="2124"/>
                              <w:rPr>
                                <w:rFonts w:ascii="Calibri" w:hAnsi="Calibri"/>
                                <w:b/>
                              </w:rPr>
                            </w:pPr>
                            <w:r>
                              <w:rPr>
                                <w:rFonts w:ascii="Calibri" w:hAnsi="Calibri"/>
                                <w:b/>
                              </w:rPr>
                              <w:tab/>
                            </w:r>
                            <w:r w:rsidRPr="00BD3BC1">
                              <w:rPr>
                                <w:rFonts w:ascii="Calibri" w:hAnsi="Calibri"/>
                                <w:b/>
                              </w:rPr>
                              <w:t>Vajadused</w:t>
                            </w:r>
                            <w:r>
                              <w:rPr>
                                <w:rFonts w:ascii="Calibri" w:hAnsi="Calibri"/>
                                <w:b/>
                              </w:rPr>
                              <w:t xml:space="preserve"> –  </w:t>
                            </w:r>
                            <w:r>
                              <w:rPr>
                                <w:rFonts w:ascii="Calibri" w:hAnsi="Calibri"/>
                              </w:rPr>
                              <w:t>Õpe lähtub õppija huvidest ja võimetest, toetab tema arengut ja arvestab tööturu vajadusi.</w:t>
                            </w:r>
                          </w:p>
                          <w:p w14:paraId="56EE5939" w14:textId="77777777" w:rsidR="0035250E" w:rsidRDefault="0035250E" w:rsidP="00E47CAF">
                            <w:pPr>
                              <w:spacing w:after="0" w:line="252" w:lineRule="auto"/>
                              <w:ind w:left="2124" w:hanging="2124"/>
                              <w:rPr>
                                <w:rFonts w:ascii="Calibri" w:hAnsi="Calibri"/>
                              </w:rPr>
                            </w:pPr>
                            <w:r w:rsidRPr="00937147">
                              <w:rPr>
                                <w:rFonts w:ascii="Calibri" w:hAnsi="Calibri"/>
                                <w:b/>
                              </w:rPr>
                              <w:t xml:space="preserve"> </w:t>
                            </w:r>
                            <w:r>
                              <w:rPr>
                                <w:rFonts w:ascii="Calibri" w:hAnsi="Calibri"/>
                                <w:b/>
                              </w:rPr>
                              <w:tab/>
                            </w:r>
                            <w:r w:rsidRPr="00BD3BC1">
                              <w:rPr>
                                <w:rFonts w:ascii="Calibri" w:hAnsi="Calibri"/>
                                <w:b/>
                              </w:rPr>
                              <w:t>Võimalused</w:t>
                            </w:r>
                            <w:r>
                              <w:rPr>
                                <w:rFonts w:ascii="Calibri" w:hAnsi="Calibri"/>
                              </w:rPr>
                              <w:t xml:space="preserve"> – Elukestva õppe süsteem pakub inimestele kvaliteetseid, kaasaegseid, paindlikke ja õppija erivajadusi arvestavaid õpivõimalusi.</w:t>
                            </w:r>
                          </w:p>
                          <w:p w14:paraId="56EE593A" w14:textId="77777777" w:rsidR="0035250E" w:rsidRDefault="00352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EE58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pt;margin-top:.95pt;width:434.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" adj="18878" fillcolor="white [3201]" strokecolor="#4f81bd [3204]" strokeweight="2pt">
                <v:textbox>
                  <w:txbxContent>
                    <w:p w14:paraId="56EE5937" w14:textId="77777777" w:rsidR="0035250E" w:rsidRDefault="0035250E" w:rsidP="00E47CAF">
                      <w:pPr>
                        <w:spacing w:after="0" w:line="252" w:lineRule="auto"/>
                        <w:ind w:left="2124" w:hanging="2124"/>
                        <w:rPr>
                          <w:rFonts w:ascii="Calibri" w:hAnsi="Calibri"/>
                        </w:rPr>
                      </w:pPr>
                      <w:r>
                        <w:rPr>
                          <w:rFonts w:ascii="Calibri" w:hAnsi="Calibri"/>
                          <w:b/>
                        </w:rPr>
                        <w:t>Elukestva õppe VVV:</w:t>
                      </w:r>
                      <w:r>
                        <w:rPr>
                          <w:rFonts w:ascii="Calibri" w:hAnsi="Calibri"/>
                          <w:b/>
                        </w:rPr>
                        <w:tab/>
                      </w:r>
                      <w:r w:rsidRPr="00BD3BC1">
                        <w:rPr>
                          <w:rFonts w:ascii="Calibri" w:hAnsi="Calibri"/>
                          <w:b/>
                        </w:rPr>
                        <w:t>Vastutus</w:t>
                      </w:r>
                      <w:r>
                        <w:rPr>
                          <w:rFonts w:ascii="Calibri" w:hAnsi="Calibri"/>
                        </w:rPr>
                        <w:t xml:space="preserve"> – Inimesed mõistavad, et õppimine ja enesearendamine on nende endi teadlik valik ja vastutus.</w:t>
                      </w:r>
                    </w:p>
                    <w:p w14:paraId="56EE5938" w14:textId="77777777" w:rsidR="0035250E" w:rsidRDefault="0035250E" w:rsidP="00E47CAF">
                      <w:pPr>
                        <w:spacing w:after="0" w:line="252" w:lineRule="auto"/>
                        <w:ind w:left="2124" w:hanging="2124"/>
                        <w:rPr>
                          <w:rFonts w:ascii="Calibri" w:hAnsi="Calibri"/>
                          <w:b/>
                        </w:rPr>
                      </w:pPr>
                      <w:r>
                        <w:rPr>
                          <w:rFonts w:ascii="Calibri" w:hAnsi="Calibri"/>
                          <w:b/>
                        </w:rPr>
                        <w:tab/>
                      </w:r>
                      <w:r w:rsidRPr="00BD3BC1">
                        <w:rPr>
                          <w:rFonts w:ascii="Calibri" w:hAnsi="Calibri"/>
                          <w:b/>
                        </w:rPr>
                        <w:t>Vajadused</w:t>
                      </w:r>
                      <w:r>
                        <w:rPr>
                          <w:rFonts w:ascii="Calibri" w:hAnsi="Calibri"/>
                          <w:b/>
                        </w:rPr>
                        <w:t xml:space="preserve"> –  </w:t>
                      </w:r>
                      <w:r>
                        <w:rPr>
                          <w:rFonts w:ascii="Calibri" w:hAnsi="Calibri"/>
                        </w:rPr>
                        <w:t>Õpe lähtub õppija huvidest ja võimetest, toetab tema arengut ja arvestab tööturu vajadusi.</w:t>
                      </w:r>
                    </w:p>
                    <w:p w14:paraId="56EE5939" w14:textId="77777777" w:rsidR="0035250E" w:rsidRDefault="0035250E" w:rsidP="00E47CAF">
                      <w:pPr>
                        <w:spacing w:after="0" w:line="252" w:lineRule="auto"/>
                        <w:ind w:left="2124" w:hanging="2124"/>
                        <w:rPr>
                          <w:rFonts w:ascii="Calibri" w:hAnsi="Calibri"/>
                        </w:rPr>
                      </w:pPr>
                      <w:r w:rsidRPr="00937147">
                        <w:rPr>
                          <w:rFonts w:ascii="Calibri" w:hAnsi="Calibri"/>
                          <w:b/>
                        </w:rPr>
                        <w:t xml:space="preserve"> </w:t>
                      </w:r>
                      <w:r>
                        <w:rPr>
                          <w:rFonts w:ascii="Calibri" w:hAnsi="Calibri"/>
                          <w:b/>
                        </w:rPr>
                        <w:tab/>
                      </w:r>
                      <w:r w:rsidRPr="00BD3BC1">
                        <w:rPr>
                          <w:rFonts w:ascii="Calibri" w:hAnsi="Calibri"/>
                          <w:b/>
                        </w:rPr>
                        <w:t>Võimalused</w:t>
                      </w:r>
                      <w:r>
                        <w:rPr>
                          <w:rFonts w:ascii="Calibri" w:hAnsi="Calibri"/>
                        </w:rPr>
                        <w:t xml:space="preserve"> – Elukestva õppe süsteem pakub inimestele kvaliteetseid, kaasaegseid, paindlikke ja õppija erivajadusi arvestavaid õpivõimalusi.</w:t>
                      </w:r>
                    </w:p>
                    <w:p w14:paraId="56EE593A" w14:textId="77777777" w:rsidR="0035250E" w:rsidRDefault="0035250E"/>
                  </w:txbxContent>
                </v:textbox>
              </v:shape>
            </w:pict>
          </mc:Fallback>
        </mc:AlternateContent>
      </w:r>
    </w:p>
    <w:p w14:paraId="56EE55C5" w14:textId="77777777" w:rsidR="000C4589" w:rsidRDefault="000C4589" w:rsidP="00F81609">
      <w:pPr>
        <w:jc w:val="both"/>
      </w:pPr>
    </w:p>
    <w:p w14:paraId="56EE55C6" w14:textId="77777777" w:rsidR="00263952" w:rsidRDefault="00263952" w:rsidP="00F81609">
      <w:pPr>
        <w:jc w:val="both"/>
      </w:pPr>
    </w:p>
    <w:p w14:paraId="56EE55C7" w14:textId="77777777" w:rsidR="00263952" w:rsidRDefault="00263952" w:rsidP="00F81609">
      <w:pPr>
        <w:jc w:val="both"/>
      </w:pPr>
    </w:p>
    <w:p w14:paraId="56EE55C8" w14:textId="77777777" w:rsidR="00263952" w:rsidRDefault="00263952" w:rsidP="00F81609">
      <w:pPr>
        <w:jc w:val="both"/>
      </w:pPr>
    </w:p>
    <w:p w14:paraId="56EE55C9" w14:textId="77777777" w:rsidR="00F81609" w:rsidRDefault="00F81609" w:rsidP="00F81609">
      <w:pPr>
        <w:jc w:val="both"/>
      </w:pPr>
      <w:r>
        <w:t xml:space="preserve">Visiooni </w:t>
      </w:r>
      <w:r w:rsidR="00BB1847">
        <w:t xml:space="preserve">ja üldeesmärgi </w:t>
      </w:r>
      <w:r>
        <w:t xml:space="preserve">teostumiseks on seatud </w:t>
      </w:r>
      <w:r w:rsidRPr="00423859">
        <w:rPr>
          <w:b/>
          <w:color w:val="1F497D" w:themeColor="text2"/>
          <w:sz w:val="24"/>
          <w:szCs w:val="24"/>
        </w:rPr>
        <w:t>5 strateegilist eesmärki</w:t>
      </w:r>
      <w:r w:rsidR="00FD6A4D">
        <w:rPr>
          <w:b/>
          <w:color w:val="1F497D" w:themeColor="text2"/>
          <w:sz w:val="24"/>
          <w:szCs w:val="24"/>
        </w:rPr>
        <w:t xml:space="preserve"> (eesmärkide saavutamist mõõtvad näitajad on lisas 1)</w:t>
      </w:r>
      <w:r>
        <w:t>:</w:t>
      </w:r>
    </w:p>
    <w:p w14:paraId="56EE55CA" w14:textId="77777777" w:rsidR="00F81609" w:rsidRPr="00E27473" w:rsidRDefault="00F81609" w:rsidP="00F81609">
      <w:pPr>
        <w:pStyle w:val="ListParagraph"/>
        <w:numPr>
          <w:ilvl w:val="0"/>
          <w:numId w:val="1"/>
        </w:numPr>
        <w:spacing w:line="240" w:lineRule="auto"/>
        <w:jc w:val="both"/>
      </w:pPr>
      <w:r w:rsidRPr="00E93967">
        <w:t>MUUTUNUD ÕPIKÄSITUS</w:t>
      </w:r>
      <w:r w:rsidR="001D63E1">
        <w:t>.</w:t>
      </w:r>
      <w:r w:rsidR="001D63E1" w:rsidRPr="00E93967">
        <w:t xml:space="preserve"> </w:t>
      </w:r>
      <w:r w:rsidRPr="00E93967">
        <w:t>Iga õppija individuaalset ja sotsiaalset arengut</w:t>
      </w:r>
      <w:r w:rsidR="00FD6A4D" w:rsidRPr="00E27473">
        <w:t xml:space="preserve"> toetava</w:t>
      </w:r>
      <w:r w:rsidRPr="00E27473">
        <w:t xml:space="preserve">, </w:t>
      </w:r>
      <w:r w:rsidR="00FD6A4D" w:rsidRPr="00E27473">
        <w:t>õpioskusi</w:t>
      </w:r>
      <w:r w:rsidRPr="00E27473">
        <w:t xml:space="preserve">, loovust ja ettevõtlikkust arendav õpikäsitus </w:t>
      </w:r>
      <w:r w:rsidR="00FD6A4D" w:rsidRPr="00E27473">
        <w:t xml:space="preserve">on </w:t>
      </w:r>
      <w:r w:rsidRPr="00E27473">
        <w:t>rakenda</w:t>
      </w:r>
      <w:r w:rsidR="00FD6A4D" w:rsidRPr="00E27473">
        <w:t>tud</w:t>
      </w:r>
      <w:r w:rsidRPr="00E27473">
        <w:t xml:space="preserve"> kõi</w:t>
      </w:r>
      <w:r w:rsidR="00FD6A4D" w:rsidRPr="00E27473">
        <w:t>gil</w:t>
      </w:r>
      <w:r w:rsidRPr="00E27473">
        <w:t xml:space="preserve"> haridustasemetel ja -liikides.</w:t>
      </w:r>
      <w:r w:rsidR="00836B91" w:rsidRPr="00E27473">
        <w:t xml:space="preserve"> </w:t>
      </w:r>
    </w:p>
    <w:p w14:paraId="56EE55CB" w14:textId="77777777" w:rsidR="00F81609" w:rsidRPr="00E27473" w:rsidRDefault="00F81609" w:rsidP="00F81609">
      <w:pPr>
        <w:pStyle w:val="ListParagraph"/>
        <w:numPr>
          <w:ilvl w:val="0"/>
          <w:numId w:val="1"/>
        </w:numPr>
        <w:spacing w:line="240" w:lineRule="auto"/>
        <w:jc w:val="both"/>
      </w:pPr>
      <w:r w:rsidRPr="0071637D">
        <w:t xml:space="preserve">PÄDEVAD JA MOTIVEERITUD ÕPETAJAD NING </w:t>
      </w:r>
      <w:r w:rsidR="00B17565" w:rsidRPr="0071637D">
        <w:t>KOOLI</w:t>
      </w:r>
      <w:r w:rsidRPr="0071637D">
        <w:t>JUHID</w:t>
      </w:r>
      <w:r w:rsidR="001D63E1">
        <w:t>.</w:t>
      </w:r>
      <w:r w:rsidR="001D63E1" w:rsidRPr="0071637D">
        <w:t xml:space="preserve"> </w:t>
      </w:r>
      <w:r w:rsidR="00FD6A4D" w:rsidRPr="0071637D">
        <w:t>Õpetaja/õppejõu ja koolijuhi töö hindamine ja tasustamine on vastavuses nendele ametikohtadele esitatavate nõuete ja töö tulemuslikkusega</w:t>
      </w:r>
      <w:r w:rsidR="0071637D" w:rsidRPr="00E27473">
        <w:t>.</w:t>
      </w:r>
    </w:p>
    <w:p w14:paraId="56EE55CC" w14:textId="77777777" w:rsidR="00F81609" w:rsidRPr="00E93967" w:rsidRDefault="00F81609" w:rsidP="00F81609">
      <w:pPr>
        <w:pStyle w:val="ListParagraph"/>
        <w:numPr>
          <w:ilvl w:val="0"/>
          <w:numId w:val="1"/>
        </w:numPr>
        <w:spacing w:line="240" w:lineRule="auto"/>
        <w:jc w:val="both"/>
      </w:pPr>
      <w:r w:rsidRPr="0071637D">
        <w:t>ELUKESTVA ÕPPE VÕIMALUSTE JA TÖÖMAAILMA VAJADUSTE VASTAVUS</w:t>
      </w:r>
      <w:r w:rsidR="001D63E1">
        <w:t>.</w:t>
      </w:r>
      <w:r w:rsidR="001D63E1" w:rsidRPr="0071637D">
        <w:t xml:space="preserve"> </w:t>
      </w:r>
      <w:r w:rsidRPr="0071637D">
        <w:t xml:space="preserve">Kvaliteetsed, paindlikud ja mitmekesiste valikutega ning tööturu arenguvajadusi arvestavad õppimisvõimalused ja karjääriteenused </w:t>
      </w:r>
      <w:r w:rsidR="009A503E" w:rsidRPr="0071637D">
        <w:t>on suurendanud  erialase kvalifikatsiooniga inimeste arvu erinevates vanuserühmades</w:t>
      </w:r>
      <w:r w:rsidRPr="0071637D">
        <w:t xml:space="preserve"> </w:t>
      </w:r>
      <w:r w:rsidR="00976452">
        <w:t>ja Eesti eri regioonides.</w:t>
      </w:r>
      <w:r w:rsidRPr="00E27473">
        <w:t xml:space="preserve"> </w:t>
      </w:r>
    </w:p>
    <w:p w14:paraId="56EE55CD" w14:textId="77777777" w:rsidR="00F81609" w:rsidRDefault="00A8536E" w:rsidP="00F81609">
      <w:pPr>
        <w:pStyle w:val="ListParagraph"/>
        <w:numPr>
          <w:ilvl w:val="0"/>
          <w:numId w:val="1"/>
        </w:numPr>
        <w:spacing w:after="0" w:line="240" w:lineRule="auto"/>
        <w:jc w:val="both"/>
      </w:pPr>
      <w:r w:rsidRPr="00E27473">
        <w:t>DIGI</w:t>
      </w:r>
      <w:r w:rsidR="00D96141" w:rsidRPr="00E27473">
        <w:t>PÖÖRE</w:t>
      </w:r>
      <w:r w:rsidRPr="00E27473">
        <w:t xml:space="preserve"> ELUKESTVAS ÕPPES</w:t>
      </w:r>
      <w:r w:rsidR="001D63E1">
        <w:t>.</w:t>
      </w:r>
      <w:r w:rsidR="001D63E1" w:rsidRPr="00E27473">
        <w:t xml:space="preserve"> </w:t>
      </w:r>
      <w:r w:rsidR="009A503E" w:rsidRPr="00E27473">
        <w:t xml:space="preserve">Õppimisel ja õpetamisel rakendatakse kaasaegset digitehnoloogiat otstarbekamalt ja tulemuslikumalt, paranenud on kogu elanikkonna digioskused ning tagatud on ligipääs uue põlvkonna digitaristule. </w:t>
      </w:r>
    </w:p>
    <w:p w14:paraId="56EE55CE" w14:textId="77777777" w:rsidR="009B124B" w:rsidRPr="000E5D39" w:rsidRDefault="003334DE" w:rsidP="00AC43E6">
      <w:pPr>
        <w:pStyle w:val="ListParagraph"/>
        <w:numPr>
          <w:ilvl w:val="0"/>
          <w:numId w:val="1"/>
        </w:numPr>
        <w:spacing w:after="0" w:line="240" w:lineRule="auto"/>
        <w:jc w:val="both"/>
        <w:rPr>
          <w:rFonts w:ascii="Calibri" w:hAnsi="Calibri"/>
          <w:b/>
        </w:rPr>
      </w:pPr>
      <w:r>
        <w:t>VÕRDSED VÕIMALUSED ELUKESTVAKS ÕPPEKS JA ÕPPES OSALUSE KASV</w:t>
      </w:r>
      <w:r w:rsidR="001D63E1">
        <w:t>.</w:t>
      </w:r>
      <w:r w:rsidR="001D63E1" w:rsidRPr="00E27473">
        <w:t xml:space="preserve"> </w:t>
      </w:r>
      <w:r w:rsidR="00976452">
        <w:t>Kõigile on loodud võrdsed võimalused elukestvaks õppeks.</w:t>
      </w:r>
      <w:r w:rsidR="00F81609" w:rsidRPr="00E27473">
        <w:t xml:space="preserve"> </w:t>
      </w:r>
      <w:r w:rsidR="00F81609" w:rsidRPr="00AC43E6">
        <w:rPr>
          <w:rFonts w:cs="Times New Roman"/>
          <w:lang w:eastAsia="et-EE"/>
        </w:rPr>
        <w:t xml:space="preserve"> </w:t>
      </w:r>
    </w:p>
    <w:p w14:paraId="56EE55CF" w14:textId="77777777" w:rsidR="000E5D39" w:rsidRDefault="000E5D39" w:rsidP="000E5D39">
      <w:pPr>
        <w:pStyle w:val="Heading1"/>
        <w:spacing w:before="0" w:after="240"/>
      </w:pPr>
    </w:p>
    <w:p w14:paraId="56EE55D0" w14:textId="77777777" w:rsidR="00423859" w:rsidRDefault="00F0079B" w:rsidP="000E5D39">
      <w:pPr>
        <w:pStyle w:val="Heading1"/>
        <w:spacing w:before="0" w:after="240"/>
      </w:pPr>
      <w:bookmarkStart w:id="4" w:name="_Toc376952245"/>
      <w:r>
        <w:t>Olukorra analüüs: e</w:t>
      </w:r>
      <w:r w:rsidR="00B03696" w:rsidRPr="001E4E63">
        <w:t>lukestva õppe süsteemi edusammud ja kitsaskohad</w:t>
      </w:r>
      <w:bookmarkEnd w:id="4"/>
    </w:p>
    <w:p w14:paraId="56EE55D1" w14:textId="77777777" w:rsidR="00A14A03" w:rsidRDefault="00A14A03" w:rsidP="000E5D39">
      <w:pPr>
        <w:spacing w:after="240"/>
        <w:jc w:val="both"/>
      </w:pPr>
      <w:r>
        <w:t xml:space="preserve">Elukestva õppe süsteemi edusammude ja kitsaskohtade määratlemisel on </w:t>
      </w:r>
      <w:r w:rsidR="00433A8B">
        <w:t xml:space="preserve">alusdokumentidena </w:t>
      </w:r>
      <w:r>
        <w:t xml:space="preserve">kasutatud </w:t>
      </w:r>
      <w:hyperlink r:id="rId12" w:history="1">
        <w:r w:rsidR="00667FAF" w:rsidRPr="00667FAF">
          <w:rPr>
            <w:rStyle w:val="Hyperlink"/>
            <w:color w:val="0000FF"/>
          </w:rPr>
          <w:t>„Eesti hariduse viis väljakutset – haridusstrateegia 2012–2020“</w:t>
        </w:r>
      </w:hyperlink>
      <w:r w:rsidR="00433A8B">
        <w:t xml:space="preserve"> taustamaterjali ning </w:t>
      </w:r>
      <w:r>
        <w:t>Haridus- ja Teadusministeeriumi igal aastal uuendatavat dokumenti „</w:t>
      </w:r>
      <w:hyperlink r:id="rId13" w:history="1">
        <w:r w:rsidRPr="000C1868">
          <w:rPr>
            <w:rStyle w:val="Hyperlink"/>
          </w:rPr>
          <w:t>Tark ja tegus rahvas</w:t>
        </w:r>
      </w:hyperlink>
      <w:r>
        <w:t xml:space="preserve">“, mis kirjeldab põhjalikult </w:t>
      </w:r>
      <w:r w:rsidR="004B0698">
        <w:t xml:space="preserve">Eesti </w:t>
      </w:r>
      <w:r>
        <w:t xml:space="preserve">hariduse </w:t>
      </w:r>
      <w:r w:rsidR="004B0698">
        <w:t xml:space="preserve">olukorda </w:t>
      </w:r>
      <w:r>
        <w:t>ning seoseid Euroopa Liidu suundumustega.</w:t>
      </w:r>
    </w:p>
    <w:p w14:paraId="56EE55D2" w14:textId="77777777" w:rsidR="00A14A03" w:rsidRDefault="00A14A03" w:rsidP="000E5D39">
      <w:pPr>
        <w:spacing w:after="240"/>
        <w:jc w:val="both"/>
        <w:rPr>
          <w:b/>
        </w:rPr>
      </w:pPr>
      <w:r>
        <w:t>Olulisemad edusammud ja kitsaskohad on järgmised</w:t>
      </w:r>
      <w:r w:rsidR="00E47CAF" w:rsidRPr="00E47CAF">
        <w:rPr>
          <w:vertAlign w:val="superscript"/>
        </w:rPr>
        <w:footnoteReference w:id="5"/>
      </w:r>
      <w:r>
        <w:t>:</w:t>
      </w:r>
    </w:p>
    <w:p w14:paraId="56EE55D3" w14:textId="77777777" w:rsidR="00B03696" w:rsidRPr="001E4E63" w:rsidRDefault="00B03696" w:rsidP="00E27473">
      <w:pPr>
        <w:spacing w:after="0"/>
        <w:jc w:val="both"/>
        <w:rPr>
          <w:b/>
        </w:rPr>
      </w:pPr>
      <w:r w:rsidRPr="005F7EAE">
        <w:rPr>
          <w:b/>
        </w:rPr>
        <w:t>E</w:t>
      </w:r>
      <w:r w:rsidR="001D63E1">
        <w:rPr>
          <w:b/>
        </w:rPr>
        <w:t>DUSAMMUD</w:t>
      </w:r>
      <w:r w:rsidRPr="001E4E63">
        <w:rPr>
          <w:b/>
        </w:rPr>
        <w:t xml:space="preserve"> </w:t>
      </w:r>
    </w:p>
    <w:p w14:paraId="56EE55D4" w14:textId="77777777" w:rsidR="00B03696" w:rsidRPr="001E4E63" w:rsidRDefault="00B03696" w:rsidP="004B46A2">
      <w:pPr>
        <w:pStyle w:val="ListParagraph"/>
        <w:numPr>
          <w:ilvl w:val="0"/>
          <w:numId w:val="3"/>
        </w:numPr>
        <w:spacing w:after="0"/>
        <w:jc w:val="both"/>
      </w:pPr>
      <w:r w:rsidRPr="001E4E63">
        <w:t>Haridus on Eesti ühiskonnas kõrgelt väärtustatud – seda on ajalooliselt peetud individuaalse edu tagatiseks ning riigi arengu peamiseks veduriks.</w:t>
      </w:r>
    </w:p>
    <w:p w14:paraId="56EE55D5" w14:textId="77777777" w:rsidR="00B03696" w:rsidRPr="001E4E63" w:rsidRDefault="00B03696" w:rsidP="004B46A2">
      <w:pPr>
        <w:pStyle w:val="ListParagraph"/>
        <w:numPr>
          <w:ilvl w:val="0"/>
          <w:numId w:val="3"/>
        </w:numPr>
        <w:spacing w:after="0"/>
        <w:jc w:val="both"/>
      </w:pPr>
      <w:r w:rsidRPr="001E4E63">
        <w:t xml:space="preserve">Rahvusvahelised võrdlusuuringud näitavad, et enamik õppijaid </w:t>
      </w:r>
      <w:r w:rsidR="00B43999" w:rsidRPr="001E4E63">
        <w:t xml:space="preserve">omandab </w:t>
      </w:r>
      <w:r w:rsidRPr="001E4E63">
        <w:t xml:space="preserve">head baasoskused. </w:t>
      </w:r>
    </w:p>
    <w:p w14:paraId="56EE55D6" w14:textId="77777777" w:rsidR="00B03696" w:rsidRPr="001E4E63" w:rsidRDefault="00B03696" w:rsidP="004B46A2">
      <w:pPr>
        <w:pStyle w:val="ListParagraph"/>
        <w:numPr>
          <w:ilvl w:val="0"/>
          <w:numId w:val="3"/>
        </w:numPr>
        <w:spacing w:after="0"/>
        <w:jc w:val="both"/>
      </w:pPr>
      <w:r w:rsidRPr="001E4E63">
        <w:t>Õppijate sotsiaalmajandusliku tausta mõju õpitulemustele on väike</w:t>
      </w:r>
      <w:r w:rsidRPr="001E4E63">
        <w:rPr>
          <w:rStyle w:val="FootnoteReference"/>
        </w:rPr>
        <w:footnoteReference w:id="6"/>
      </w:r>
      <w:r w:rsidRPr="001E4E63">
        <w:t>.</w:t>
      </w:r>
    </w:p>
    <w:p w14:paraId="56EE55D7" w14:textId="77777777" w:rsidR="00B03696" w:rsidRPr="001E4E63" w:rsidRDefault="00B03696" w:rsidP="004B46A2">
      <w:pPr>
        <w:pStyle w:val="ListParagraph"/>
        <w:numPr>
          <w:ilvl w:val="0"/>
          <w:numId w:val="3"/>
        </w:numPr>
        <w:spacing w:after="0"/>
        <w:jc w:val="both"/>
      </w:pPr>
      <w:r w:rsidRPr="001E4E63">
        <w:t xml:space="preserve">Elukestvas õppes osalemise määr on kasvanud. </w:t>
      </w:r>
    </w:p>
    <w:p w14:paraId="56EE55D8" w14:textId="77777777" w:rsidR="00B03696" w:rsidRPr="001E4E63" w:rsidRDefault="00B03696" w:rsidP="004B46A2">
      <w:pPr>
        <w:pStyle w:val="ListParagraph"/>
        <w:numPr>
          <w:ilvl w:val="0"/>
          <w:numId w:val="3"/>
        </w:numPr>
        <w:spacing w:after="0"/>
        <w:jc w:val="both"/>
      </w:pPr>
      <w:r w:rsidRPr="001E4E63">
        <w:t>Vähenenud on õppijate põhikoolist</w:t>
      </w:r>
      <w:r w:rsidR="00701CB2" w:rsidRPr="00701CB2">
        <w:t xml:space="preserve"> </w:t>
      </w:r>
      <w:r w:rsidR="00701CB2" w:rsidRPr="001E4E63">
        <w:t>väljalangevus</w:t>
      </w:r>
      <w:r w:rsidRPr="001E4E63">
        <w:t>.</w:t>
      </w:r>
    </w:p>
    <w:p w14:paraId="56EE55D9" w14:textId="77777777" w:rsidR="00B03696" w:rsidRPr="001E4E63" w:rsidRDefault="00B03696" w:rsidP="004B46A2">
      <w:pPr>
        <w:pStyle w:val="ListParagraph"/>
        <w:numPr>
          <w:ilvl w:val="0"/>
          <w:numId w:val="3"/>
        </w:numPr>
        <w:spacing w:after="0"/>
        <w:jc w:val="both"/>
      </w:pPr>
      <w:r w:rsidRPr="001E4E63">
        <w:t>Laste osalus koolieelsetes lasteasutustes on kõrge, mis loob head eeldused sujuvaks üleminekuks kooliellu.</w:t>
      </w:r>
      <w:r w:rsidR="00701CB2">
        <w:t xml:space="preserve"> </w:t>
      </w:r>
    </w:p>
    <w:p w14:paraId="56EE55DA" w14:textId="77777777" w:rsidR="00B03696" w:rsidRPr="001E4E63" w:rsidRDefault="00B03696" w:rsidP="004B46A2">
      <w:pPr>
        <w:pStyle w:val="ListParagraph"/>
        <w:numPr>
          <w:ilvl w:val="0"/>
          <w:numId w:val="3"/>
        </w:numPr>
        <w:spacing w:after="0"/>
        <w:jc w:val="both"/>
      </w:pPr>
      <w:r w:rsidRPr="001E4E63">
        <w:t>Välja on arendatud õppijate, õppeasutuste</w:t>
      </w:r>
      <w:r w:rsidR="00B43999" w:rsidRPr="001E4E63">
        <w:t xml:space="preserve"> ja</w:t>
      </w:r>
      <w:r w:rsidRPr="001E4E63">
        <w:t xml:space="preserve"> õpitulemuste </w:t>
      </w:r>
      <w:r w:rsidR="00B43999" w:rsidRPr="001E4E63">
        <w:t>andmebaasid</w:t>
      </w:r>
      <w:r w:rsidRPr="001E4E63">
        <w:t xml:space="preserve">, mis võimaldavad jälgida arengut ja suunata </w:t>
      </w:r>
      <w:r w:rsidR="00B43999" w:rsidRPr="001E4E63">
        <w:t xml:space="preserve">ressursid </w:t>
      </w:r>
      <w:r w:rsidRPr="001E4E63">
        <w:t>sinna, kus seda kõige rohkem vaja</w:t>
      </w:r>
      <w:r w:rsidR="00B43999" w:rsidRPr="001E4E63">
        <w:t xml:space="preserve"> on</w:t>
      </w:r>
      <w:r w:rsidRPr="001E4E63">
        <w:t>.</w:t>
      </w:r>
    </w:p>
    <w:p w14:paraId="56EE55DB" w14:textId="77777777" w:rsidR="00B03696" w:rsidRPr="001E4E63" w:rsidRDefault="00B03696" w:rsidP="004B46A2">
      <w:pPr>
        <w:pStyle w:val="ListParagraph"/>
        <w:numPr>
          <w:ilvl w:val="0"/>
          <w:numId w:val="3"/>
        </w:numPr>
        <w:spacing w:after="0"/>
        <w:jc w:val="both"/>
      </w:pPr>
      <w:r w:rsidRPr="001E4E63">
        <w:t>Keelekümbluse metoodika rakendamine on toonud häid tulemusi ja suurendanud venekeelsete noorte lõimumist Eesti ühiskonnas</w:t>
      </w:r>
      <w:r w:rsidRPr="001E4E63">
        <w:rPr>
          <w:rStyle w:val="FootnoteReference"/>
        </w:rPr>
        <w:footnoteReference w:id="7"/>
      </w:r>
      <w:r w:rsidRPr="001E4E63">
        <w:t>.</w:t>
      </w:r>
    </w:p>
    <w:p w14:paraId="56EE55DC" w14:textId="77777777" w:rsidR="00B03696" w:rsidRPr="001E4E63" w:rsidRDefault="00B03696" w:rsidP="004B46A2">
      <w:pPr>
        <w:pStyle w:val="ListParagraph"/>
        <w:numPr>
          <w:ilvl w:val="0"/>
          <w:numId w:val="3"/>
        </w:numPr>
        <w:spacing w:after="0"/>
        <w:jc w:val="both"/>
      </w:pPr>
      <w:r w:rsidRPr="001E4E63">
        <w:t xml:space="preserve">Alternatiivsed lähenemised (nt </w:t>
      </w:r>
      <w:r w:rsidRPr="001348D9">
        <w:rPr>
          <w:i/>
        </w:rPr>
        <w:t>Noored kooli, Tagasi kooli</w:t>
      </w:r>
      <w:r w:rsidRPr="001E4E63">
        <w:t>, erakoolid, waldorfkoolid</w:t>
      </w:r>
      <w:r w:rsidR="00611C35">
        <w:t xml:space="preserve">, </w:t>
      </w:r>
      <w:r w:rsidR="00611C35" w:rsidRPr="001348D9">
        <w:rPr>
          <w:i/>
        </w:rPr>
        <w:t>Hea a</w:t>
      </w:r>
      <w:r w:rsidR="00A14A03" w:rsidRPr="001348D9">
        <w:rPr>
          <w:i/>
        </w:rPr>
        <w:t>lgus</w:t>
      </w:r>
      <w:r w:rsidRPr="001E4E63">
        <w:t xml:space="preserve">) on muutnud formaalharidussüsteemi paindlikumaks, uuenduslikumaks, mitmekesisemaks.  </w:t>
      </w:r>
    </w:p>
    <w:p w14:paraId="56EE55DD" w14:textId="77777777" w:rsidR="00B03696" w:rsidRPr="001E4E63" w:rsidRDefault="00B03696" w:rsidP="004B46A2">
      <w:pPr>
        <w:pStyle w:val="ListParagraph"/>
        <w:numPr>
          <w:ilvl w:val="0"/>
          <w:numId w:val="3"/>
        </w:numPr>
        <w:jc w:val="both"/>
      </w:pPr>
      <w:r w:rsidRPr="001E4E63">
        <w:t xml:space="preserve">Õpi- ja töötingimused kutse- ja kõrgkoolides on kaasaegsed. </w:t>
      </w:r>
    </w:p>
    <w:p w14:paraId="56EE55DE" w14:textId="77777777" w:rsidR="00B03696" w:rsidRPr="001E4E63" w:rsidRDefault="00B03696" w:rsidP="004B46A2">
      <w:pPr>
        <w:pStyle w:val="ListParagraph"/>
        <w:numPr>
          <w:ilvl w:val="0"/>
          <w:numId w:val="3"/>
        </w:numPr>
        <w:jc w:val="both"/>
      </w:pPr>
      <w:r w:rsidRPr="001E4E63">
        <w:t xml:space="preserve">Kutseõppeasutuste võrk on korrastatud. </w:t>
      </w:r>
    </w:p>
    <w:p w14:paraId="56EE55DF" w14:textId="77777777" w:rsidR="00B03696" w:rsidRPr="001E4E63" w:rsidRDefault="00B03696" w:rsidP="00B03696">
      <w:pPr>
        <w:pStyle w:val="ListParagraph"/>
        <w:spacing w:after="0"/>
        <w:jc w:val="both"/>
      </w:pPr>
    </w:p>
    <w:p w14:paraId="56EE55E0" w14:textId="77777777" w:rsidR="00B03696" w:rsidRPr="001E4E63" w:rsidRDefault="001D63E1" w:rsidP="00EE51B3">
      <w:pPr>
        <w:spacing w:after="0"/>
        <w:jc w:val="both"/>
        <w:rPr>
          <w:b/>
        </w:rPr>
      </w:pPr>
      <w:r w:rsidRPr="001E4E63">
        <w:rPr>
          <w:b/>
        </w:rPr>
        <w:t>K</w:t>
      </w:r>
      <w:r>
        <w:rPr>
          <w:b/>
        </w:rPr>
        <w:t>ITSASKOHAD</w:t>
      </w:r>
    </w:p>
    <w:p w14:paraId="56EE55E1" w14:textId="77777777" w:rsidR="00B03696" w:rsidRPr="001E4E63" w:rsidRDefault="00B03696" w:rsidP="004B46A2">
      <w:pPr>
        <w:pStyle w:val="ListParagraph"/>
        <w:numPr>
          <w:ilvl w:val="0"/>
          <w:numId w:val="4"/>
        </w:numPr>
        <w:spacing w:after="0"/>
        <w:jc w:val="both"/>
      </w:pPr>
      <w:r w:rsidRPr="001E4E63">
        <w:t>Teoreetiliselt omaksvõetud ja dokumentides kinnitatud õpikäsitus</w:t>
      </w:r>
      <w:r w:rsidR="00701CB2">
        <w:t>,</w:t>
      </w:r>
      <w:r w:rsidRPr="001E4E63">
        <w:t xml:space="preserve"> õppijate eri tüüpi andekuste väärtustamine ning erivajaduste märkamine ei ole muutunud õppeprotsessi lahutamatuks osaks</w:t>
      </w:r>
      <w:r w:rsidRPr="001E4E63">
        <w:rPr>
          <w:rStyle w:val="FootnoteReference"/>
        </w:rPr>
        <w:footnoteReference w:id="8"/>
      </w:r>
      <w:r w:rsidRPr="001E4E63">
        <w:t xml:space="preserve">.  </w:t>
      </w:r>
    </w:p>
    <w:p w14:paraId="56EE55E2" w14:textId="77777777" w:rsidR="004C3C73" w:rsidRDefault="00B03696" w:rsidP="004B46A2">
      <w:pPr>
        <w:pStyle w:val="ListParagraph"/>
        <w:numPr>
          <w:ilvl w:val="0"/>
          <w:numId w:val="4"/>
        </w:numPr>
        <w:spacing w:after="0"/>
        <w:jc w:val="both"/>
      </w:pPr>
      <w:r w:rsidRPr="001E4E63">
        <w:t xml:space="preserve">Väljalangevus (eriti meessoo hulgas) on kõikidel </w:t>
      </w:r>
      <w:r w:rsidR="007F0909" w:rsidRPr="00F0079B">
        <w:t xml:space="preserve">haridustasemetel </w:t>
      </w:r>
      <w:r w:rsidRPr="00F0079B">
        <w:t xml:space="preserve">ja </w:t>
      </w:r>
      <w:r w:rsidR="00F0079B" w:rsidRPr="00F0079B">
        <w:t>-l</w:t>
      </w:r>
      <w:r w:rsidRPr="00F0079B">
        <w:t>iikides</w:t>
      </w:r>
      <w:r w:rsidRPr="001E4E63">
        <w:t xml:space="preserve"> kõrge.</w:t>
      </w:r>
    </w:p>
    <w:p w14:paraId="56EE55E3" w14:textId="77777777" w:rsidR="00B03696" w:rsidRPr="009B68FD" w:rsidRDefault="004C3C73" w:rsidP="004B46A2">
      <w:pPr>
        <w:pStyle w:val="ListParagraph"/>
        <w:numPr>
          <w:ilvl w:val="0"/>
          <w:numId w:val="4"/>
        </w:numPr>
        <w:spacing w:after="0"/>
        <w:jc w:val="both"/>
      </w:pPr>
      <w:r w:rsidRPr="009B68FD">
        <w:t xml:space="preserve">Ühiskonnas väljakujunenud hoiakud suunavad </w:t>
      </w:r>
      <w:r w:rsidR="000C1868" w:rsidRPr="009B68FD">
        <w:t>õppijaid</w:t>
      </w:r>
      <w:r w:rsidRPr="009B68FD">
        <w:t xml:space="preserve"> valima </w:t>
      </w:r>
      <w:r w:rsidR="000C1868" w:rsidRPr="009B68FD">
        <w:t xml:space="preserve">„naiste ja meeste </w:t>
      </w:r>
      <w:r w:rsidRPr="009B68FD">
        <w:t>erialasid</w:t>
      </w:r>
      <w:r w:rsidR="000C1868" w:rsidRPr="009B68FD">
        <w:t>“</w:t>
      </w:r>
      <w:r w:rsidRPr="009B68FD">
        <w:t>, mi</w:t>
      </w:r>
      <w:r w:rsidR="000C1868" w:rsidRPr="009B68FD">
        <w:t>s suurendab tööturul soolist segregatsiooni</w:t>
      </w:r>
      <w:r w:rsidR="002E457D">
        <w:rPr>
          <w:rStyle w:val="FootnoteReference"/>
        </w:rPr>
        <w:footnoteReference w:id="9"/>
      </w:r>
      <w:r w:rsidR="000C1868" w:rsidRPr="009B68FD">
        <w:t xml:space="preserve">. </w:t>
      </w:r>
    </w:p>
    <w:p w14:paraId="56EE55E4" w14:textId="77777777" w:rsidR="00B03696" w:rsidRPr="004C3C73" w:rsidRDefault="00B03696" w:rsidP="004B46A2">
      <w:pPr>
        <w:pStyle w:val="ListParagraph"/>
        <w:numPr>
          <w:ilvl w:val="0"/>
          <w:numId w:val="4"/>
        </w:numPr>
        <w:spacing w:after="0"/>
        <w:jc w:val="both"/>
      </w:pPr>
      <w:r w:rsidRPr="004C3C73">
        <w:t>Ligi kolmandik Eesti tööealisest elanikkonnast on erialase ettevalmistuseta</w:t>
      </w:r>
      <w:r w:rsidR="00FF579A">
        <w:t xml:space="preserve">, madala kvalifikatsiooniga inimeste osalus elukestvas õppes on </w:t>
      </w:r>
      <w:r w:rsidR="005572E7">
        <w:t>väike</w:t>
      </w:r>
      <w:r w:rsidRPr="004C3C73">
        <w:t>.</w:t>
      </w:r>
    </w:p>
    <w:p w14:paraId="56EE55E5" w14:textId="77777777" w:rsidR="00B03696" w:rsidRPr="001E4E63" w:rsidRDefault="00722056" w:rsidP="004B46A2">
      <w:pPr>
        <w:pStyle w:val="ListParagraph"/>
        <w:numPr>
          <w:ilvl w:val="0"/>
          <w:numId w:val="4"/>
        </w:numPr>
        <w:spacing w:after="0"/>
        <w:jc w:val="both"/>
      </w:pPr>
      <w:r>
        <w:t xml:space="preserve">Erinevused </w:t>
      </w:r>
      <w:r w:rsidR="00B03696" w:rsidRPr="001E4E63">
        <w:t>elukestva õppe raames pakutava ja tööturul vajaliku vahel on liiga suured.</w:t>
      </w:r>
      <w:r w:rsidR="00B03696" w:rsidRPr="001E4E63">
        <w:rPr>
          <w:i/>
        </w:rPr>
        <w:t xml:space="preserve"> </w:t>
      </w:r>
      <w:r w:rsidR="00B03696" w:rsidRPr="001E4E63">
        <w:t xml:space="preserve">Õppeasutused ja töömaailm ei tee elukestva õppe süsteemi arendamiseks aktiivset koostööd.  </w:t>
      </w:r>
    </w:p>
    <w:p w14:paraId="56EE55E6" w14:textId="77777777" w:rsidR="00B03696" w:rsidRPr="001E4E63" w:rsidRDefault="00B03696" w:rsidP="004B46A2">
      <w:pPr>
        <w:pStyle w:val="ListParagraph"/>
        <w:numPr>
          <w:ilvl w:val="0"/>
          <w:numId w:val="4"/>
        </w:numPr>
        <w:spacing w:after="0"/>
        <w:jc w:val="both"/>
      </w:pPr>
      <w:r w:rsidRPr="001E4E63">
        <w:t xml:space="preserve">Levinud on suhtumine, et õppimine on noorte jaoks. Enesetäiendamist </w:t>
      </w:r>
      <w:r w:rsidR="0044164A" w:rsidRPr="0044164A">
        <w:t>p</w:t>
      </w:r>
      <w:r w:rsidR="0044164A">
        <w:t>ärsi</w:t>
      </w:r>
      <w:r w:rsidR="0044164A" w:rsidRPr="0044164A">
        <w:t>b</w:t>
      </w:r>
      <w:r w:rsidR="0044164A" w:rsidRPr="001E4E63">
        <w:t xml:space="preserve"> </w:t>
      </w:r>
      <w:r w:rsidRPr="001E4E63">
        <w:t xml:space="preserve">rahaliste võimaluste </w:t>
      </w:r>
      <w:r w:rsidRPr="0044164A">
        <w:t>piiratuse</w:t>
      </w:r>
      <w:r w:rsidRPr="00396E60">
        <w:t xml:space="preserve"> k</w:t>
      </w:r>
      <w:r w:rsidRPr="001E4E63">
        <w:t xml:space="preserve">õrval ka täiskasvanute huvi- ja motivatsioonipuudus. </w:t>
      </w:r>
    </w:p>
    <w:p w14:paraId="56EE55E7" w14:textId="77777777" w:rsidR="00B03696" w:rsidRPr="001E4E63" w:rsidRDefault="00B03696" w:rsidP="004B46A2">
      <w:pPr>
        <w:pStyle w:val="ListParagraph"/>
        <w:numPr>
          <w:ilvl w:val="0"/>
          <w:numId w:val="4"/>
        </w:numPr>
        <w:spacing w:after="0"/>
        <w:jc w:val="both"/>
      </w:pPr>
      <w:r w:rsidRPr="001E4E63">
        <w:t xml:space="preserve">Õpetaja elukutse ei ole atraktiivne: noorte ja meesõpetajate osakaal ning konkurss õpetajakoolituse õppekavadele on väike, õpetajaks õppinud ei lähe kooli tööle. </w:t>
      </w:r>
    </w:p>
    <w:p w14:paraId="56EE55E8" w14:textId="77777777" w:rsidR="00B03696" w:rsidRPr="001E4E63" w:rsidRDefault="00B03696" w:rsidP="004B46A2">
      <w:pPr>
        <w:pStyle w:val="ListParagraph"/>
        <w:numPr>
          <w:ilvl w:val="0"/>
          <w:numId w:val="4"/>
        </w:numPr>
        <w:spacing w:after="0"/>
        <w:jc w:val="both"/>
      </w:pPr>
      <w:r w:rsidRPr="001E4E63">
        <w:t>Info tööturu ja majanduse arengute kohta pole süsteemne ja karjäärinõustamisteenused on ebaühtlase kvaliteedi ja kättesaadavusega</w:t>
      </w:r>
      <w:r w:rsidR="002E457D">
        <w:t xml:space="preserve"> </w:t>
      </w:r>
      <w:r w:rsidRPr="001E4E63">
        <w:rPr>
          <w:rStyle w:val="FootnoteReference"/>
        </w:rPr>
        <w:footnoteReference w:id="10"/>
      </w:r>
      <w:r w:rsidRPr="001E4E63">
        <w:t xml:space="preserve">. </w:t>
      </w:r>
    </w:p>
    <w:p w14:paraId="56EE55E9" w14:textId="77777777" w:rsidR="00B03696" w:rsidRPr="001E4E63" w:rsidRDefault="00B03696" w:rsidP="004B46A2">
      <w:pPr>
        <w:pStyle w:val="ListParagraph"/>
        <w:numPr>
          <w:ilvl w:val="0"/>
          <w:numId w:val="4"/>
        </w:numPr>
        <w:spacing w:after="0"/>
        <w:jc w:val="both"/>
      </w:pPr>
      <w:r w:rsidRPr="001E4E63">
        <w:t xml:space="preserve">Tänane gümnaasiumivõrk ei arvesta õppijate arvu suurt vähenemist, väikesed gümnaasiumid ei suuda pakkuda mitmekesiseid ning kvaliteetseid õpivõimalusi. </w:t>
      </w:r>
    </w:p>
    <w:p w14:paraId="56EE55EA" w14:textId="77777777" w:rsidR="00B03696" w:rsidRPr="001E4E63" w:rsidRDefault="00B03696" w:rsidP="004B46A2">
      <w:pPr>
        <w:pStyle w:val="ListParagraph"/>
        <w:numPr>
          <w:ilvl w:val="0"/>
          <w:numId w:val="4"/>
        </w:numPr>
        <w:spacing w:after="0"/>
        <w:jc w:val="both"/>
      </w:pPr>
      <w:r w:rsidRPr="001E4E63">
        <w:t xml:space="preserve">Kutseharidus pole kujunenud kvaliteetseks edasiõppimisvõimaluseks, tööturu jaoks ei valmistata </w:t>
      </w:r>
      <w:r w:rsidR="00E00335" w:rsidRPr="001E4E63">
        <w:t xml:space="preserve">ette </w:t>
      </w:r>
      <w:r w:rsidRPr="001E4E63">
        <w:t xml:space="preserve">piisaval arvul </w:t>
      </w:r>
      <w:r w:rsidR="00440628">
        <w:t xml:space="preserve">sobiliku kvalifikatsiooniga </w:t>
      </w:r>
      <w:r w:rsidRPr="001E4E63">
        <w:t>oskustöötajaid.</w:t>
      </w:r>
    </w:p>
    <w:p w14:paraId="56EE55EB" w14:textId="77777777" w:rsidR="00B03696" w:rsidRPr="001E4E63" w:rsidRDefault="00B03696" w:rsidP="004B46A2">
      <w:pPr>
        <w:pStyle w:val="ListParagraph"/>
        <w:numPr>
          <w:ilvl w:val="0"/>
          <w:numId w:val="4"/>
        </w:numPr>
        <w:spacing w:after="0"/>
        <w:jc w:val="both"/>
      </w:pPr>
      <w:r w:rsidRPr="001E4E63">
        <w:t xml:space="preserve">Üleminek massilisele kõrgharidusele on kaasa toonud nõudlikkuse vähenemise. </w:t>
      </w:r>
      <w:r w:rsidR="00396E60">
        <w:t>K</w:t>
      </w:r>
      <w:r w:rsidRPr="001E4E63">
        <w:t xml:space="preserve">õrgharidusega </w:t>
      </w:r>
      <w:r w:rsidR="00396E60">
        <w:t xml:space="preserve">Eesti </w:t>
      </w:r>
      <w:r w:rsidRPr="001E4E63">
        <w:t>noorte probleemilahendusoskused on madalamad</w:t>
      </w:r>
      <w:r w:rsidR="00E00335" w:rsidRPr="001E4E63">
        <w:t>,</w:t>
      </w:r>
      <w:r w:rsidRPr="001E4E63">
        <w:t xml:space="preserve"> võrreldes teiste riikidega</w:t>
      </w:r>
      <w:r w:rsidRPr="001E4E63">
        <w:rPr>
          <w:rStyle w:val="FootnoteReference"/>
        </w:rPr>
        <w:footnoteReference w:id="11"/>
      </w:r>
      <w:r w:rsidRPr="001E4E63">
        <w:t xml:space="preserve">. Üliõpilaste ja õppejõudude rahvusvaheline mobiilsus on madal. </w:t>
      </w:r>
    </w:p>
    <w:p w14:paraId="56EE55EC" w14:textId="77777777" w:rsidR="00B03696" w:rsidRPr="001E4E63" w:rsidRDefault="00B03696" w:rsidP="004B46A2">
      <w:pPr>
        <w:pStyle w:val="ListParagraph"/>
        <w:numPr>
          <w:ilvl w:val="0"/>
          <w:numId w:val="4"/>
        </w:numPr>
        <w:spacing w:after="0"/>
        <w:jc w:val="both"/>
      </w:pPr>
      <w:r w:rsidRPr="001E4E63">
        <w:t>Vene õppekeelega põhikoolid ei kindlusta kõigile head eesti keele oskust ning õppijate baasoskused on põhikooli lõpuks nõrgemad kui eesti õppekeelega kooli</w:t>
      </w:r>
      <w:r w:rsidR="00E00335" w:rsidRPr="001E4E63">
        <w:t>de</w:t>
      </w:r>
      <w:r w:rsidRPr="001E4E63">
        <w:t>s.</w:t>
      </w:r>
    </w:p>
    <w:p w14:paraId="56EE55ED" w14:textId="77777777" w:rsidR="00B03696" w:rsidRPr="001E4E63" w:rsidRDefault="00B03696" w:rsidP="004B46A2">
      <w:pPr>
        <w:pStyle w:val="ListParagraph"/>
        <w:numPr>
          <w:ilvl w:val="0"/>
          <w:numId w:val="4"/>
        </w:numPr>
        <w:spacing w:after="0"/>
        <w:jc w:val="both"/>
      </w:pPr>
      <w:r w:rsidRPr="001E4E63">
        <w:t>Õppijate ligipääs digitaristule ja digitaalne õppevara on puudulik ja ebaühtlane.</w:t>
      </w:r>
    </w:p>
    <w:p w14:paraId="56EE55EE" w14:textId="77777777" w:rsidR="00B03696" w:rsidRPr="001E4E63" w:rsidRDefault="00B03696" w:rsidP="004B46A2">
      <w:pPr>
        <w:pStyle w:val="ListParagraph"/>
        <w:numPr>
          <w:ilvl w:val="0"/>
          <w:numId w:val="4"/>
        </w:numPr>
        <w:spacing w:after="0"/>
        <w:jc w:val="both"/>
      </w:pPr>
      <w:r w:rsidRPr="001E4E63">
        <w:t xml:space="preserve">Eesti tööealisest elanikkonnast </w:t>
      </w:r>
      <w:r w:rsidR="00FF579A">
        <w:t>pea</w:t>
      </w:r>
      <w:r w:rsidRPr="001E4E63">
        <w:t xml:space="preserve"> kolmandikul</w:t>
      </w:r>
      <w:r w:rsidR="00546D50">
        <w:rPr>
          <w:rStyle w:val="FootnoteReference"/>
        </w:rPr>
        <w:footnoteReference w:id="12"/>
      </w:r>
      <w:r w:rsidRPr="001E4E63">
        <w:t xml:space="preserve"> puuduvad</w:t>
      </w:r>
      <w:r w:rsidRPr="001E4E63">
        <w:rPr>
          <w:i/>
        </w:rPr>
        <w:t xml:space="preserve"> </w:t>
      </w:r>
      <w:r w:rsidRPr="001E4E63">
        <w:t>minimaalsed digioskused</w:t>
      </w:r>
      <w:r w:rsidR="00FF579A">
        <w:t xml:space="preserve"> ning tööks vajalikud IKT oskused on ebapiisavad</w:t>
      </w:r>
      <w:r w:rsidR="007035C9">
        <w:rPr>
          <w:rStyle w:val="FootnoteReference"/>
        </w:rPr>
        <w:footnoteReference w:id="13"/>
      </w:r>
      <w:r w:rsidRPr="001E4E63">
        <w:t xml:space="preserve">  </w:t>
      </w:r>
    </w:p>
    <w:p w14:paraId="56EE55EF" w14:textId="77777777" w:rsidR="00B03696" w:rsidRPr="001E4E63" w:rsidRDefault="00B03696" w:rsidP="004B46A2">
      <w:pPr>
        <w:pStyle w:val="ListParagraph"/>
        <w:numPr>
          <w:ilvl w:val="0"/>
          <w:numId w:val="4"/>
        </w:numPr>
        <w:spacing w:after="0"/>
        <w:jc w:val="both"/>
      </w:pPr>
      <w:r w:rsidRPr="001E4E63">
        <w:t xml:space="preserve">Ühiskonnas mõistetakse hariduse ja koolide kvaliteeti liiga riigieksamite tulemuste kesksena. </w:t>
      </w:r>
    </w:p>
    <w:p w14:paraId="56EE55F0" w14:textId="77777777" w:rsidR="00B03696" w:rsidRPr="001E4E63" w:rsidRDefault="00B03696" w:rsidP="004B46A2">
      <w:pPr>
        <w:pStyle w:val="ListParagraph"/>
        <w:numPr>
          <w:ilvl w:val="0"/>
          <w:numId w:val="4"/>
        </w:numPr>
        <w:spacing w:after="0"/>
        <w:jc w:val="both"/>
      </w:pPr>
      <w:r w:rsidRPr="001E4E63">
        <w:t xml:space="preserve">Tõenduspõhine otsustamine ning hariduspoliitikate toimimise hindamine ei ole muutunud valdavaks, see muudab konsensuse loomise hariduspoliitiliste valikute tegemisel keeruliseks. </w:t>
      </w:r>
    </w:p>
    <w:p w14:paraId="56EE55F1" w14:textId="77777777" w:rsidR="00B03696" w:rsidRPr="001E4E63" w:rsidRDefault="00B03696" w:rsidP="00B03696">
      <w:pPr>
        <w:rPr>
          <w:sz w:val="28"/>
          <w:szCs w:val="28"/>
        </w:rPr>
      </w:pPr>
    </w:p>
    <w:p w14:paraId="56EE55F2" w14:textId="77777777" w:rsidR="00321C77" w:rsidRPr="00321C77" w:rsidRDefault="00AF75E4" w:rsidP="0053311E">
      <w:pPr>
        <w:pStyle w:val="Heading1"/>
      </w:pPr>
      <w:bookmarkStart w:id="5" w:name="_Toc376952246"/>
      <w:r w:rsidRPr="00321C77">
        <w:t xml:space="preserve">Strateegilised </w:t>
      </w:r>
      <w:r w:rsidR="00321C77" w:rsidRPr="00321C77">
        <w:t>eesmärgid</w:t>
      </w:r>
      <w:r w:rsidR="001E4F87">
        <w:t xml:space="preserve"> ja meetmed</w:t>
      </w:r>
      <w:bookmarkEnd w:id="5"/>
    </w:p>
    <w:p w14:paraId="56EE55F3" w14:textId="77777777" w:rsidR="00AF75E4" w:rsidRPr="00321C77" w:rsidRDefault="00AF75E4" w:rsidP="001947EC">
      <w:pPr>
        <w:pStyle w:val="Heading2"/>
        <w:numPr>
          <w:ilvl w:val="0"/>
          <w:numId w:val="37"/>
        </w:numPr>
      </w:pPr>
      <w:bookmarkStart w:id="6" w:name="_Toc376952247"/>
      <w:r w:rsidRPr="00321C77">
        <w:t>Muutu</w:t>
      </w:r>
      <w:r w:rsidR="00321C77">
        <w:t>nud</w:t>
      </w:r>
      <w:r w:rsidRPr="00321C77">
        <w:t xml:space="preserve"> õpikäsitus</w:t>
      </w:r>
      <w:bookmarkEnd w:id="6"/>
      <w:r w:rsidRPr="00321C77">
        <w:t xml:space="preserve"> </w:t>
      </w:r>
    </w:p>
    <w:p w14:paraId="56EE55F4" w14:textId="77777777" w:rsidR="00AF75E4" w:rsidRPr="001E4E63" w:rsidRDefault="00AF75E4" w:rsidP="00E47CAF">
      <w:pPr>
        <w:spacing w:before="240" w:after="0"/>
        <w:jc w:val="both"/>
        <w:rPr>
          <w:color w:val="000000" w:themeColor="text1"/>
        </w:rPr>
      </w:pPr>
      <w:r w:rsidRPr="001E4E63">
        <w:rPr>
          <w:color w:val="000000" w:themeColor="text1"/>
        </w:rPr>
        <w:t>Kõik viimasel kümnendil riiklikult kehtestatud tasemehariduse õppekavad on rõhutanud õppijakesksust, võtmepädevuste olulisust, vajadust siduda õppeprotsessis uus teadmine olemasolevaga</w:t>
      </w:r>
      <w:r>
        <w:rPr>
          <w:color w:val="000000" w:themeColor="text1"/>
        </w:rPr>
        <w:t>,</w:t>
      </w:r>
      <w:r w:rsidRPr="001E4E63">
        <w:rPr>
          <w:color w:val="000000" w:themeColor="text1"/>
        </w:rPr>
        <w:t xml:space="preserve"> lõimida see erinevate aine- ja eluvaldkondadega</w:t>
      </w:r>
      <w:r>
        <w:rPr>
          <w:color w:val="000000" w:themeColor="text1"/>
        </w:rPr>
        <w:t>,</w:t>
      </w:r>
      <w:r w:rsidRPr="001E4E63">
        <w:rPr>
          <w:color w:val="000000" w:themeColor="text1"/>
        </w:rPr>
        <w:t xml:space="preserve">  õppida/õpetada </w:t>
      </w:r>
      <w:r>
        <w:rPr>
          <w:color w:val="000000" w:themeColor="text1"/>
        </w:rPr>
        <w:t>mitte</w:t>
      </w:r>
      <w:r w:rsidRPr="001E4E63">
        <w:rPr>
          <w:color w:val="000000" w:themeColor="text1"/>
        </w:rPr>
        <w:t xml:space="preserve"> </w:t>
      </w:r>
      <w:r>
        <w:rPr>
          <w:color w:val="000000" w:themeColor="text1"/>
        </w:rPr>
        <w:t xml:space="preserve">ainult </w:t>
      </w:r>
      <w:r w:rsidRPr="001E4E63">
        <w:rPr>
          <w:color w:val="000000" w:themeColor="text1"/>
        </w:rPr>
        <w:t xml:space="preserve">faktiteadmisi, vaid </w:t>
      </w:r>
      <w:r>
        <w:rPr>
          <w:color w:val="000000" w:themeColor="text1"/>
        </w:rPr>
        <w:t>õppid</w:t>
      </w:r>
      <w:r w:rsidR="001348D9">
        <w:rPr>
          <w:color w:val="000000" w:themeColor="text1"/>
        </w:rPr>
        <w:t>a õppima ja probleeme lahendama</w:t>
      </w:r>
      <w:r>
        <w:rPr>
          <w:color w:val="000000" w:themeColor="text1"/>
        </w:rPr>
        <w:t xml:space="preserve"> ning teha seda meeskonnas</w:t>
      </w:r>
      <w:r w:rsidRPr="001E4E63">
        <w:rPr>
          <w:color w:val="000000" w:themeColor="text1"/>
        </w:rPr>
        <w:t>. Lähiaastate pingutused tuleb suunata sellele, et need nõuded rakenduksid. Õpetaja (sh õppejõud, täiskasvanukoolitaja) ei ole 21. sajandil mitte infoallikas, vaid seoste looja ja väärtushoiakute kujundaja, kelle ülesanne on arendada õppijas kriitilist ja loovat mõtlemist, analüüsioskust, ettevõtlikkust, meeskonnatöö ning kirjaliku ja suulise eneseväljenduse oskust. Õpetaja roll on toetada õppija kujunemist ennastjuhtivaks õppijaks, kes tuleb iseseisvalt toime muudatustega keskkonnas ning võtab vastutuse oma arengu ja õpivalikute eest. Õpetajate ja tugispetsialistide meeskonna individuaalne lähenemine igale õppijale  annab nõrgematele võimaluse toime tulla ning pakub väljakutseid</w:t>
      </w:r>
      <w:r>
        <w:rPr>
          <w:color w:val="000000" w:themeColor="text1"/>
        </w:rPr>
        <w:t xml:space="preserve"> võimekamatele. </w:t>
      </w:r>
    </w:p>
    <w:p w14:paraId="56EE55F5" w14:textId="77777777" w:rsidR="00AF75E4" w:rsidRPr="005F7EAE" w:rsidRDefault="00AF75E4" w:rsidP="00AF75E4">
      <w:pPr>
        <w:pStyle w:val="ListParagraph"/>
        <w:ind w:left="0"/>
        <w:jc w:val="both"/>
        <w:rPr>
          <w:b/>
        </w:rPr>
      </w:pPr>
      <w:r w:rsidRPr="005F7EAE">
        <w:rPr>
          <w:b/>
        </w:rPr>
        <w:t xml:space="preserve">Eesmärk on iga õppija individuaalset ja sotsiaalset arengut toetava, õpioskusi, loovust ja ettevõtlikkust arendava õpikäsituse rakendamine </w:t>
      </w:r>
      <w:r w:rsidRPr="00F0079B">
        <w:rPr>
          <w:b/>
        </w:rPr>
        <w:t>kõigil haridustasemetel</w:t>
      </w:r>
      <w:r w:rsidRPr="001E4E63">
        <w:rPr>
          <w:b/>
        </w:rPr>
        <w:t xml:space="preserve"> ja </w:t>
      </w:r>
      <w:r>
        <w:rPr>
          <w:b/>
        </w:rPr>
        <w:t>-liikides</w:t>
      </w:r>
      <w:r w:rsidRPr="005F7EAE">
        <w:rPr>
          <w:b/>
        </w:rPr>
        <w:t>.</w:t>
      </w:r>
    </w:p>
    <w:p w14:paraId="56EE55F6" w14:textId="77777777" w:rsidR="00AF75E4" w:rsidRPr="001E4E63" w:rsidRDefault="00AF75E4" w:rsidP="00E47CAF">
      <w:pPr>
        <w:spacing w:before="240" w:after="0" w:line="360" w:lineRule="auto"/>
        <w:rPr>
          <w:b/>
          <w:color w:val="1F497D" w:themeColor="text2"/>
          <w:sz w:val="24"/>
          <w:szCs w:val="24"/>
        </w:rPr>
      </w:pPr>
      <w:r w:rsidRPr="001E4E63">
        <w:rPr>
          <w:b/>
          <w:color w:val="1F497D" w:themeColor="text2"/>
          <w:sz w:val="24"/>
          <w:szCs w:val="24"/>
        </w:rPr>
        <w:t>Strateegilised meetmed</w:t>
      </w:r>
      <w:r w:rsidRPr="001E4E63">
        <w:rPr>
          <w:b/>
          <w:color w:val="1F497D" w:themeColor="text2"/>
          <w:sz w:val="24"/>
          <w:szCs w:val="24"/>
        </w:rPr>
        <w:tab/>
      </w:r>
    </w:p>
    <w:p w14:paraId="56EE55F7" w14:textId="77777777" w:rsidR="00AF75E4" w:rsidRPr="001E4E63" w:rsidRDefault="00321C77" w:rsidP="000E5D39">
      <w:pPr>
        <w:spacing w:after="240"/>
        <w:jc w:val="both"/>
      </w:pPr>
      <w:r>
        <w:rPr>
          <w:b/>
        </w:rPr>
        <w:t xml:space="preserve">1.1. </w:t>
      </w:r>
      <w:r w:rsidR="00AF75E4" w:rsidRPr="001E4E63">
        <w:rPr>
          <w:b/>
        </w:rPr>
        <w:t xml:space="preserve">Õppe sisu ja mahu vastavusse viimine õppekavades seatud eesmärkide ja õpitulemustega (sh võtmepädevustega). </w:t>
      </w:r>
      <w:r w:rsidR="00AF75E4" w:rsidRPr="001E4E63">
        <w:t xml:space="preserve">Tänaseks on sisuliselt kõikide </w:t>
      </w:r>
      <w:r w:rsidR="00AF75E4" w:rsidRPr="00F0079B">
        <w:t>haridustasemete ja -liikide õppekavadesse</w:t>
      </w:r>
      <w:r w:rsidR="00AF75E4" w:rsidRPr="001E4E63">
        <w:t xml:space="preserve"> kirjutatud sisse eesmärgid ja õpi</w:t>
      </w:r>
      <w:r w:rsidR="004D669C">
        <w:t>väljundid</w:t>
      </w:r>
      <w:r w:rsidR="00AF75E4" w:rsidRPr="001E4E63">
        <w:t>, mis arvestavad erinevates riik</w:t>
      </w:r>
      <w:r w:rsidR="00AF75E4" w:rsidRPr="005F7EAE">
        <w:t xml:space="preserve">likes ja rahvusvahelistes regulatsioonides </w:t>
      </w:r>
      <w:r w:rsidR="00AF75E4" w:rsidRPr="001E4E63">
        <w:t>ning kutsestandardites kirjeldatud õpi</w:t>
      </w:r>
      <w:r w:rsidR="004D669C">
        <w:t xml:space="preserve">väljunditega, </w:t>
      </w:r>
      <w:r w:rsidR="00AF75E4" w:rsidRPr="001E4E63">
        <w:t>sh võtmepädevustega</w:t>
      </w:r>
      <w:r w:rsidR="004D669C">
        <w:rPr>
          <w:rStyle w:val="FootnoteReference"/>
        </w:rPr>
        <w:footnoteReference w:id="14"/>
      </w:r>
      <w:r w:rsidR="00AF75E4" w:rsidRPr="001E4E63">
        <w:t>. Selleks et hinnata, kas õppe sisu, ma</w:t>
      </w:r>
      <w:r w:rsidR="001348D9">
        <w:t>ht, meetodid ja hindamine toetavad</w:t>
      </w:r>
      <w:r w:rsidR="00AF75E4" w:rsidRPr="001E4E63">
        <w:t xml:space="preserve"> parimal moel seatud eesmärkide saavutamist</w:t>
      </w:r>
      <w:r w:rsidR="004D669C">
        <w:t xml:space="preserve"> ja võtmepädevuste omandamist</w:t>
      </w:r>
      <w:r w:rsidR="00AF75E4" w:rsidRPr="001E4E63">
        <w:t xml:space="preserve">, on vajalikud järgmised tegevused: </w:t>
      </w:r>
    </w:p>
    <w:p w14:paraId="56EE55F8" w14:textId="77777777" w:rsidR="00AF75E4" w:rsidRPr="001E4E63" w:rsidRDefault="00AF75E4" w:rsidP="000E5D39">
      <w:pPr>
        <w:pStyle w:val="ListParagraph"/>
        <w:numPr>
          <w:ilvl w:val="0"/>
          <w:numId w:val="16"/>
        </w:numPr>
        <w:spacing w:after="0"/>
        <w:jc w:val="both"/>
      </w:pPr>
      <w:r w:rsidRPr="001E4E63">
        <w:t>Haridus- ja Teadusministeerium käivitab põhikooli ja gümnaasiumi riiklike õppekavade ainekavade sisu ja mahu analüüsi ning vajadusel muutmise;</w:t>
      </w:r>
    </w:p>
    <w:p w14:paraId="56EE55F9" w14:textId="77777777" w:rsidR="00AF75E4" w:rsidRPr="001E4E63" w:rsidRDefault="00881DB0" w:rsidP="000E5D39">
      <w:pPr>
        <w:pStyle w:val="ListParagraph"/>
        <w:numPr>
          <w:ilvl w:val="0"/>
          <w:numId w:val="16"/>
        </w:numPr>
        <w:spacing w:after="240"/>
        <w:jc w:val="both"/>
      </w:pPr>
      <w:r>
        <w:t>k</w:t>
      </w:r>
      <w:r w:rsidR="00AF75E4" w:rsidRPr="001E4E63">
        <w:t>utse- ja kõrghariduse tasemel analüüsitakse õppemeetodite, auditoorse ja iseseisva töö, praktika mahtude, hindamismeetodite ning õppekava eesmärkide ja õpiväljundite sidusust</w:t>
      </w:r>
      <w:r w:rsidR="00AF75E4">
        <w:t>, vastavust tööturuvajadustele</w:t>
      </w:r>
      <w:r w:rsidR="001348D9">
        <w:t xml:space="preserve"> ning pakutakse </w:t>
      </w:r>
      <w:r w:rsidR="00853C9D" w:rsidRPr="001E4E63">
        <w:t>välja muudatusettepanekud</w:t>
      </w:r>
      <w:r w:rsidR="00853C9D">
        <w:t xml:space="preserve">, </w:t>
      </w:r>
      <w:r w:rsidR="00853C9D" w:rsidRPr="001E4E63">
        <w:t>arvestades</w:t>
      </w:r>
      <w:r w:rsidR="00853C9D">
        <w:t xml:space="preserve"> </w:t>
      </w:r>
      <w:r w:rsidR="001348D9">
        <w:t>parimaid rahvusvahelisi kogemusi</w:t>
      </w:r>
      <w:r w:rsidR="00AF75E4" w:rsidRPr="001E4E63">
        <w:t>.</w:t>
      </w:r>
    </w:p>
    <w:p w14:paraId="56EE55FA" w14:textId="77777777" w:rsidR="00AF75E4" w:rsidRPr="001E4E63" w:rsidRDefault="00321C77" w:rsidP="000E5D39">
      <w:pPr>
        <w:spacing w:after="240"/>
        <w:jc w:val="both"/>
      </w:pPr>
      <w:r>
        <w:rPr>
          <w:b/>
        </w:rPr>
        <w:t>1.</w:t>
      </w:r>
      <w:r w:rsidR="00AF75E4" w:rsidRPr="001E4E63">
        <w:rPr>
          <w:b/>
        </w:rPr>
        <w:t>2. Hindamispõhimõtete muutmine</w:t>
      </w:r>
      <w:r w:rsidR="00853C9D">
        <w:t>.</w:t>
      </w:r>
      <w:r w:rsidR="00853C9D" w:rsidRPr="001E4E63">
        <w:t xml:space="preserve"> </w:t>
      </w:r>
      <w:r w:rsidR="00AF75E4" w:rsidRPr="001E4E63">
        <w:t>Õppija ning õppeasutuse kui õppiva organisatsiooni tulemuslikkuse hindamisel liigub rõhuasetus kujundavale hindamisele, mis toetab õppimist ja iga õppija individuaalset arengut. Kujundava hindamise puhul seavad hinnatav ja hindaja – õppija ja õpetaja – lati nii kõrgele, et see oleks jõupingutust rakendades ületatav. Seega ei ole põhitähelepanu mitte lõpptulemuse hindamisel, vaid lähteolukorra selgitamisel, ühiselt eesmärgi seadmisel ning viiside ja vahendite valimisel, mis kõige tõhusamalt toeta</w:t>
      </w:r>
      <w:r w:rsidR="00AF75E4">
        <w:t>va</w:t>
      </w:r>
      <w:r w:rsidR="00AF75E4" w:rsidRPr="001E4E63">
        <w:t xml:space="preserve">d eesmärgi saavutamist. Õppija muutub objektist subjektiks, osaleb õppeprotsessi kavandamises, võtab vastutuse tulemuse saavutamise eest ning saab õpetajalt arengut toetavat tagasisidet eelkõige kokkulepitud </w:t>
      </w:r>
      <w:r w:rsidR="004C00E1" w:rsidRPr="001E4E63">
        <w:t>võtmepädevuste</w:t>
      </w:r>
      <w:r w:rsidR="004C00E1">
        <w:t xml:space="preserve"> osas</w:t>
      </w:r>
      <w:r w:rsidR="00AF75E4" w:rsidRPr="001E4E63">
        <w:t xml:space="preserve">.  </w:t>
      </w:r>
    </w:p>
    <w:p w14:paraId="56EE55FB" w14:textId="77777777" w:rsidR="00AF75E4" w:rsidRPr="001E4E63" w:rsidRDefault="00AF75E4" w:rsidP="00AF75E4">
      <w:pPr>
        <w:jc w:val="both"/>
        <w:rPr>
          <w:rFonts w:ascii="Calibri" w:eastAsia="Times New Roman" w:hAnsi="Calibri" w:cs="Times New Roman"/>
          <w:color w:val="000000"/>
          <w:lang w:eastAsia="en-GB"/>
        </w:rPr>
      </w:pPr>
      <w:r w:rsidRPr="001E4E63">
        <w:rPr>
          <w:rFonts w:ascii="Calibri" w:eastAsia="Times New Roman" w:hAnsi="Calibri" w:cs="Times New Roman"/>
          <w:color w:val="000000"/>
          <w:lang w:eastAsia="en-GB"/>
        </w:rPr>
        <w:t xml:space="preserve">Riiklikus välishindamissüsteemis tuleb rohkem tähelepanu pöörata võtmepädevuste hindamisele ning ainetevahelisele lõimingule kõigil </w:t>
      </w:r>
      <w:r w:rsidRPr="00F0079B">
        <w:rPr>
          <w:rFonts w:ascii="Calibri" w:eastAsia="Times New Roman" w:hAnsi="Calibri" w:cs="Times New Roman"/>
          <w:color w:val="000000"/>
          <w:lang w:eastAsia="en-GB"/>
        </w:rPr>
        <w:t>haridustasemetel</w:t>
      </w:r>
      <w:r>
        <w:rPr>
          <w:rFonts w:ascii="Calibri" w:eastAsia="Times New Roman" w:hAnsi="Calibri" w:cs="Times New Roman"/>
          <w:color w:val="000000"/>
          <w:lang w:eastAsia="en-GB"/>
        </w:rPr>
        <w:t xml:space="preserve"> ja -liikides</w:t>
      </w:r>
      <w:r w:rsidRPr="001E4E63">
        <w:rPr>
          <w:rFonts w:ascii="Calibri" w:eastAsia="Times New Roman" w:hAnsi="Calibri" w:cs="Times New Roman"/>
          <w:color w:val="000000"/>
          <w:lang w:eastAsia="en-GB"/>
        </w:rPr>
        <w:t>, õppe</w:t>
      </w:r>
      <w:r>
        <w:rPr>
          <w:rFonts w:ascii="Calibri" w:eastAsia="Times New Roman" w:hAnsi="Calibri" w:cs="Times New Roman"/>
          <w:color w:val="000000"/>
          <w:lang w:eastAsia="en-GB"/>
        </w:rPr>
        <w:t>arendus</w:t>
      </w:r>
      <w:r w:rsidRPr="001E4E63">
        <w:rPr>
          <w:rFonts w:ascii="Calibri" w:eastAsia="Times New Roman" w:hAnsi="Calibri" w:cs="Times New Roman"/>
          <w:color w:val="000000"/>
          <w:lang w:eastAsia="en-GB"/>
        </w:rPr>
        <w:t>töö</w:t>
      </w:r>
      <w:r>
        <w:rPr>
          <w:rFonts w:ascii="Calibri" w:eastAsia="Times New Roman" w:hAnsi="Calibri" w:cs="Times New Roman"/>
          <w:color w:val="000000"/>
          <w:lang w:eastAsia="en-GB"/>
        </w:rPr>
        <w:t>s</w:t>
      </w:r>
      <w:r w:rsidRPr="001E4E63">
        <w:rPr>
          <w:rFonts w:ascii="Calibri" w:eastAsia="Times New Roman" w:hAnsi="Calibri" w:cs="Times New Roman"/>
          <w:color w:val="000000"/>
          <w:lang w:eastAsia="en-GB"/>
        </w:rPr>
        <w:t xml:space="preserve"> </w:t>
      </w:r>
      <w:r w:rsidR="004C00E1" w:rsidRPr="001E4E63">
        <w:t>–</w:t>
      </w:r>
      <w:r w:rsidR="004C00E1">
        <w:t xml:space="preserve"> </w:t>
      </w:r>
      <w:r w:rsidRPr="001E4E63">
        <w:rPr>
          <w:rFonts w:ascii="Calibri" w:eastAsia="Times New Roman" w:hAnsi="Calibri" w:cs="Times New Roman"/>
          <w:color w:val="000000"/>
          <w:lang w:eastAsia="en-GB"/>
        </w:rPr>
        <w:t>terviklikule juhtimisele.</w:t>
      </w:r>
    </w:p>
    <w:p w14:paraId="56EE55FC" w14:textId="77777777" w:rsidR="00AF75E4" w:rsidRPr="001E4E63" w:rsidRDefault="00AF75E4" w:rsidP="00AF75E4">
      <w:pPr>
        <w:jc w:val="both"/>
      </w:pPr>
      <w:r w:rsidRPr="005F7EAE">
        <w:t>Eksamite</w:t>
      </w:r>
      <w:r w:rsidRPr="001E4E63">
        <w:t xml:space="preserve">, tasemetööde, õppeasutuste välis- ja sisehindamise kaudu hinnatakse, mil määral on õppeasutus suutnud uut õpikäsitust rakendada, sh, kas õppijad on omandanud õppekavades kirjeldatud teadmised ja võtmepädevused, kas on loodud keskkond, mis toetab iga õppija individuaalset </w:t>
      </w:r>
      <w:r w:rsidR="004D669C">
        <w:t xml:space="preserve">ja sotsiaalset </w:t>
      </w:r>
      <w:r w:rsidRPr="001E4E63">
        <w:t xml:space="preserve">arengut. </w:t>
      </w:r>
    </w:p>
    <w:p w14:paraId="56EE55FD" w14:textId="77777777" w:rsidR="002F4085" w:rsidRDefault="00AF75E4" w:rsidP="00AF75E4">
      <w:pPr>
        <w:jc w:val="both"/>
      </w:pPr>
      <w:r>
        <w:t>N</w:t>
      </w:r>
      <w:r w:rsidRPr="001E4E63">
        <w:t>ii õppijate kui ka õppeasutuste hindamisel</w:t>
      </w:r>
      <w:r w:rsidRPr="00B21B15">
        <w:t xml:space="preserve"> </w:t>
      </w:r>
      <w:r>
        <w:t>on t</w:t>
      </w:r>
      <w:r w:rsidRPr="001E4E63">
        <w:t>ähtis leida õige tasakaal kokkuvõtva (arvestusliku) ja kujundava hindamise vahel</w:t>
      </w:r>
      <w:r w:rsidR="00A94EDE">
        <w:t xml:space="preserve"> ning arendada õppeasutuste eneseanalüüsioskust ja refleksioonivõimet.</w:t>
      </w:r>
      <w:r w:rsidRPr="001E4E63">
        <w:t xml:space="preserve"> </w:t>
      </w:r>
      <w:r w:rsidR="005471FA">
        <w:t>Hindamist</w:t>
      </w:r>
      <w:r w:rsidR="005471FA" w:rsidRPr="001E4E63">
        <w:t>ulemus</w:t>
      </w:r>
      <w:r w:rsidR="005471FA">
        <w:t>i analüüsitakse</w:t>
      </w:r>
      <w:r w:rsidR="005471FA" w:rsidRPr="001E4E63">
        <w:t xml:space="preserve"> nende dünaamikas ning rakendatakse diferentseeritud lähenemist: tugevamaid tunnustatakse, nõrgemate õpitulemustega koolidele tagatakse sobilik abi. </w:t>
      </w:r>
      <w:r w:rsidR="005471FA">
        <w:t xml:space="preserve"> </w:t>
      </w:r>
    </w:p>
    <w:p w14:paraId="56EE55FE" w14:textId="77777777" w:rsidR="00AF75E4" w:rsidRPr="001E4E63" w:rsidRDefault="00BF1C77" w:rsidP="00AF75E4">
      <w:pPr>
        <w:jc w:val="both"/>
      </w:pPr>
      <w:r>
        <w:t>V</w:t>
      </w:r>
      <w:r w:rsidR="00AF75E4" w:rsidRPr="001E4E63">
        <w:t>ajalikud tegevused:</w:t>
      </w:r>
    </w:p>
    <w:p w14:paraId="56EE55FF" w14:textId="77777777" w:rsidR="00472AD0" w:rsidRPr="008D4D78" w:rsidRDefault="00382716" w:rsidP="00472AD0">
      <w:pPr>
        <w:pStyle w:val="ListParagraph"/>
        <w:numPr>
          <w:ilvl w:val="0"/>
          <w:numId w:val="14"/>
        </w:numPr>
        <w:jc w:val="both"/>
      </w:pPr>
      <w:r>
        <w:t>t</w:t>
      </w:r>
      <w:r w:rsidR="00472AD0" w:rsidRPr="008D4D78">
        <w:t>öötatakse välja hindamisvahendid õppijate võtmepädevuste arengu hindamiseks;</w:t>
      </w:r>
    </w:p>
    <w:p w14:paraId="56EE5600" w14:textId="77777777" w:rsidR="003A7AB7" w:rsidRPr="008D4D78" w:rsidRDefault="00382716" w:rsidP="004B46A2">
      <w:pPr>
        <w:pStyle w:val="ListParagraph"/>
        <w:numPr>
          <w:ilvl w:val="0"/>
          <w:numId w:val="14"/>
        </w:numPr>
        <w:jc w:val="both"/>
      </w:pPr>
      <w:r>
        <w:t>r</w:t>
      </w:r>
      <w:r w:rsidR="000970A2" w:rsidRPr="008D4D78">
        <w:t>iigieksamite</w:t>
      </w:r>
      <w:r w:rsidR="00AF75E4" w:rsidRPr="008D4D78">
        <w:t xml:space="preserve">, </w:t>
      </w:r>
      <w:r w:rsidR="000970A2" w:rsidRPr="008D4D78">
        <w:t>lõpueksamite</w:t>
      </w:r>
      <w:r w:rsidR="003A7AB7" w:rsidRPr="008D4D78">
        <w:t xml:space="preserve"> ja</w:t>
      </w:r>
      <w:r w:rsidR="00D6535E" w:rsidRPr="008D4D78">
        <w:t xml:space="preserve"> </w:t>
      </w:r>
      <w:r w:rsidR="00AF75E4" w:rsidRPr="008D4D78">
        <w:t>tasemetööd</w:t>
      </w:r>
      <w:r w:rsidR="000970A2" w:rsidRPr="008D4D78">
        <w:t xml:space="preserve">e koostamisel </w:t>
      </w:r>
      <w:r w:rsidR="00472AD0" w:rsidRPr="008D4D78">
        <w:t xml:space="preserve">töötatakse välja ja </w:t>
      </w:r>
      <w:r w:rsidR="000970A2" w:rsidRPr="008D4D78">
        <w:t>rakendatakse metoodikat, mis võimaldab</w:t>
      </w:r>
      <w:r w:rsidR="00D9239E" w:rsidRPr="008D4D78">
        <w:t xml:space="preserve"> hinnata</w:t>
      </w:r>
      <w:r w:rsidR="003A7AB7" w:rsidRPr="008D4D78">
        <w:t xml:space="preserve"> ka võtmepädevusi ja probleemilahendusoskusi;  </w:t>
      </w:r>
    </w:p>
    <w:p w14:paraId="56EE5601" w14:textId="77777777" w:rsidR="000D0018" w:rsidRPr="008D4D78" w:rsidRDefault="000D0018" w:rsidP="000D0018">
      <w:pPr>
        <w:pStyle w:val="ListParagraph"/>
        <w:numPr>
          <w:ilvl w:val="0"/>
          <w:numId w:val="14"/>
        </w:numPr>
        <w:jc w:val="both"/>
      </w:pPr>
      <w:r w:rsidRPr="008D4D78">
        <w:t>Haridus- ja Teadusministeerium töötab koostöös sidusrühmadega välja kvaliteedinäitajad, mis mõõdavad õppeasutuse õppe- ja kasvatusprotsessi tulemuslikkust, tõhusust ja osapoolte rahulolu.</w:t>
      </w:r>
      <w:r w:rsidR="00CF2E2C" w:rsidRPr="008D4D78">
        <w:t xml:space="preserve"> </w:t>
      </w:r>
      <w:r w:rsidR="008D4D78">
        <w:t xml:space="preserve">Õppeasutuste tulemuslikkuse </w:t>
      </w:r>
      <w:r w:rsidR="00CF2E2C" w:rsidRPr="008D4D78">
        <w:t>näitajad on avalikult kättesaadavad ja õppeasutuste vahel võrreldavad</w:t>
      </w:r>
      <w:r w:rsidRPr="008D4D78">
        <w:t xml:space="preserve">. </w:t>
      </w:r>
    </w:p>
    <w:p w14:paraId="56EE5602" w14:textId="77777777" w:rsidR="00453A51" w:rsidRPr="008D4D78" w:rsidRDefault="00382716" w:rsidP="000E5D39">
      <w:pPr>
        <w:pStyle w:val="ListParagraph"/>
        <w:numPr>
          <w:ilvl w:val="0"/>
          <w:numId w:val="14"/>
        </w:numPr>
        <w:spacing w:after="240"/>
        <w:jc w:val="both"/>
      </w:pPr>
      <w:r>
        <w:t>t</w:t>
      </w:r>
      <w:r w:rsidR="000D0018" w:rsidRPr="008D4D78">
        <w:t xml:space="preserve">öötatakse välja õppeasutuste välishindamise kriteeriumid, mis toetavad  käesoleva strateegia rakendumist üld-, kutse- ja kõrghariduses. </w:t>
      </w:r>
      <w:r w:rsidR="00DD1312" w:rsidRPr="008D4D78">
        <w:t>Õppeasutuse välis</w:t>
      </w:r>
      <w:r w:rsidR="000D0018" w:rsidRPr="008D4D78">
        <w:t>hindamine seotakse õppeasutuse eneseanalüüsiga, milles on rõhuasetus õppe- ja kasvatusprotsessil, selle tõhususe ja tulemuslikkuse ning erinevate osapoolte rahuloluküsitluste tulemuste analüüsil. Välishindamisel antakse õppeasutuse eneseanalüüsi tulemustele pädev tagasiside, milles välj</w:t>
      </w:r>
      <w:r w:rsidR="00C71A9B" w:rsidRPr="008D4D78">
        <w:t>a toodud parenduste elluviimis</w:t>
      </w:r>
      <w:r w:rsidR="00453A51" w:rsidRPr="008D4D78">
        <w:t xml:space="preserve">t toetatakse. </w:t>
      </w:r>
    </w:p>
    <w:p w14:paraId="56EE5603" w14:textId="77777777" w:rsidR="00AF75E4" w:rsidRPr="001E4E63" w:rsidRDefault="00321C77" w:rsidP="00453A51">
      <w:pPr>
        <w:spacing w:after="240"/>
        <w:ind w:left="360"/>
        <w:jc w:val="both"/>
      </w:pPr>
      <w:r w:rsidRPr="00453A51">
        <w:rPr>
          <w:b/>
        </w:rPr>
        <w:t>1.</w:t>
      </w:r>
      <w:r w:rsidR="00AF75E4" w:rsidRPr="00453A51">
        <w:rPr>
          <w:b/>
        </w:rPr>
        <w:t>3. Üldhariduskoolide, lasteaedade ja kutseõppeasutuse õpetajate ja koolijuhtide koolitussüsteemi kujundamine</w:t>
      </w:r>
      <w:r w:rsidR="00AF75E4" w:rsidRPr="001E4E63">
        <w:t xml:space="preserve">, kus keskne eesmärk on koolijuhi ja õpetaja rolli ümbermõtestamine, et nad suudaksid luua keskkonna, kus </w:t>
      </w:r>
      <w:r w:rsidR="00AF75E4">
        <w:t xml:space="preserve">pööratakse </w:t>
      </w:r>
      <w:r w:rsidR="00AF75E4" w:rsidRPr="001E4E63">
        <w:t>tähelepanu iga õppija areng</w:t>
      </w:r>
      <w:r w:rsidR="00AF75E4">
        <w:t>ule</w:t>
      </w:r>
      <w:r w:rsidR="00AF75E4" w:rsidRPr="001E4E63">
        <w:t xml:space="preserve"> ja potentsiaali väljaarendami</w:t>
      </w:r>
      <w:r w:rsidR="00AF75E4">
        <w:t>s</w:t>
      </w:r>
      <w:r w:rsidR="00AF75E4" w:rsidRPr="001E4E63">
        <w:t>e</w:t>
      </w:r>
      <w:r w:rsidR="00AF75E4">
        <w:t>le</w:t>
      </w:r>
      <w:r w:rsidR="00AF75E4" w:rsidRPr="001E4E63">
        <w:t xml:space="preserve"> ning </w:t>
      </w:r>
      <w:r w:rsidR="00AF75E4">
        <w:t xml:space="preserve">väärtustatakse </w:t>
      </w:r>
      <w:r w:rsidR="00AF75E4" w:rsidRPr="001E4E63">
        <w:t>isiksuslik</w:t>
      </w:r>
      <w:r w:rsidR="00AF75E4">
        <w:t>ke</w:t>
      </w:r>
      <w:r w:rsidR="00AF75E4" w:rsidRPr="001E4E63">
        <w:t xml:space="preserve"> erinevus</w:t>
      </w:r>
      <w:r w:rsidR="00AF75E4">
        <w:t>i.</w:t>
      </w:r>
      <w:r w:rsidR="00AF75E4" w:rsidRPr="001E4E63">
        <w:t xml:space="preserve"> Seejuures tuleb üldhariduskoolide ja kutseõppeasutuste õpetajate täienduskoolituses leida mõistlik tasakaal riigi pakutava (ja keskselt koordineeritud) ning koolide spetsiifikast ja õpetajate arenguvajadustest tuleneva täiendusõppe vahel. Täienduskoolitussüsteem ehitatakse üles viisil, </w:t>
      </w:r>
      <w:r w:rsidR="00AF75E4">
        <w:t xml:space="preserve">et oleksid </w:t>
      </w:r>
      <w:r w:rsidR="00AF75E4" w:rsidRPr="001E4E63">
        <w:t>taga</w:t>
      </w:r>
      <w:r w:rsidR="00AF75E4">
        <w:t>tud</w:t>
      </w:r>
      <w:r w:rsidR="00AF75E4" w:rsidRPr="001E4E63">
        <w:t xml:space="preserve"> </w:t>
      </w:r>
      <w:r w:rsidR="00AF75E4">
        <w:t xml:space="preserve">haridusasutuste eripära arvestavad </w:t>
      </w:r>
      <w:r w:rsidR="00AF75E4" w:rsidRPr="00370D0B">
        <w:t>kvaliteetsed koolitused</w:t>
      </w:r>
      <w:r w:rsidR="00AF75E4" w:rsidRPr="001E4E63">
        <w:t xml:space="preserve">. </w:t>
      </w:r>
    </w:p>
    <w:p w14:paraId="56EE5604" w14:textId="77777777" w:rsidR="00AF75E4" w:rsidRPr="005F7EAE" w:rsidRDefault="00BF1C77" w:rsidP="000E5D39">
      <w:pPr>
        <w:spacing w:after="240"/>
        <w:jc w:val="both"/>
      </w:pPr>
      <w:r>
        <w:t>V</w:t>
      </w:r>
      <w:r w:rsidRPr="005F7EAE">
        <w:t xml:space="preserve">ajalikud </w:t>
      </w:r>
      <w:r w:rsidR="00AF75E4" w:rsidRPr="005F7EAE">
        <w:t>tegevused:</w:t>
      </w:r>
    </w:p>
    <w:p w14:paraId="56EE5605" w14:textId="77777777" w:rsidR="00AF75E4" w:rsidRPr="001E4E63" w:rsidRDefault="00881DB0" w:rsidP="000E5D39">
      <w:pPr>
        <w:pStyle w:val="ListParagraph"/>
        <w:numPr>
          <w:ilvl w:val="0"/>
          <w:numId w:val="17"/>
        </w:numPr>
        <w:spacing w:after="240"/>
        <w:jc w:val="both"/>
      </w:pPr>
      <w:r>
        <w:t>õ</w:t>
      </w:r>
      <w:r w:rsidR="00AF75E4" w:rsidRPr="001E4E63">
        <w:t>petajakoolitusasutused arendavad välja strateegia eesmärke toetavad ning praktilise tööga tihedalt integreeritud esma- ja täiend</w:t>
      </w:r>
      <w:r w:rsidR="00AF75E4">
        <w:t>uskoolitus</w:t>
      </w:r>
      <w:r w:rsidR="00AF75E4" w:rsidRPr="001E4E63">
        <w:t xml:space="preserve">õppekavad </w:t>
      </w:r>
      <w:r w:rsidR="00853C9D" w:rsidRPr="001E4E63">
        <w:t>õpetajate</w:t>
      </w:r>
      <w:r w:rsidR="00853C9D">
        <w:t>le</w:t>
      </w:r>
      <w:r w:rsidR="00853C9D" w:rsidRPr="001E4E63">
        <w:t xml:space="preserve"> </w:t>
      </w:r>
      <w:r w:rsidR="00AF75E4" w:rsidRPr="001E4E63">
        <w:t>ning kasutavad tõhusaid õppemeetodeid ja paindlikke õppevorme, motiveerides õpetajaid omandatud teadmisi ja oskusi oma töös parimal moel rakendama</w:t>
      </w:r>
      <w:r>
        <w:t>;</w:t>
      </w:r>
    </w:p>
    <w:p w14:paraId="56EE5606" w14:textId="77777777" w:rsidR="00AE5D61" w:rsidRPr="00AE5D61" w:rsidRDefault="00881DB0" w:rsidP="004B46A2">
      <w:pPr>
        <w:pStyle w:val="ListParagraph"/>
        <w:numPr>
          <w:ilvl w:val="0"/>
          <w:numId w:val="17"/>
        </w:numPr>
        <w:jc w:val="both"/>
        <w:rPr>
          <w:rFonts w:ascii="Times New Roman" w:hAnsi="Times New Roman" w:cs="Times New Roman"/>
          <w:sz w:val="24"/>
          <w:szCs w:val="24"/>
          <w:lang w:eastAsia="et-EE"/>
        </w:rPr>
      </w:pPr>
      <w:r>
        <w:t>r</w:t>
      </w:r>
      <w:r w:rsidR="00AF75E4" w:rsidRPr="001E4E63">
        <w:t>ii</w:t>
      </w:r>
      <w:r w:rsidR="00AF75E4">
        <w:t>gi</w:t>
      </w:r>
      <w:r w:rsidR="00AF75E4" w:rsidRPr="001E4E63">
        <w:t xml:space="preserve"> tasandil pakutakse kutseõppeasutuste õpetajatele täiend</w:t>
      </w:r>
      <w:r w:rsidR="00AF75E4">
        <w:t>us</w:t>
      </w:r>
      <w:r w:rsidR="00AF75E4" w:rsidRPr="001E4E63">
        <w:t>koolitusi üld- ja erialaainete paremaks lõimimiseks, rõhutades võtmepäde</w:t>
      </w:r>
      <w:r w:rsidR="00AF75E4" w:rsidRPr="005F7EAE">
        <w:t>vuste omandamise tähtsust</w:t>
      </w:r>
      <w:r>
        <w:t>;</w:t>
      </w:r>
      <w:r w:rsidRPr="00386808">
        <w:t xml:space="preserve"> </w:t>
      </w:r>
      <w:r>
        <w:t>l</w:t>
      </w:r>
      <w:r w:rsidR="00AF75E4" w:rsidRPr="001E4E63">
        <w:t>uuakse kutseõpetajate ettevõtetes stažeerimise süsteem</w:t>
      </w:r>
      <w:r>
        <w:t>;</w:t>
      </w:r>
      <w:r w:rsidRPr="001E4E63">
        <w:t xml:space="preserve"> </w:t>
      </w:r>
    </w:p>
    <w:p w14:paraId="56EE5607" w14:textId="77777777" w:rsidR="00AF75E4" w:rsidRPr="005F7EAE" w:rsidRDefault="00881DB0" w:rsidP="004B46A2">
      <w:pPr>
        <w:pStyle w:val="ListParagraph"/>
        <w:numPr>
          <w:ilvl w:val="0"/>
          <w:numId w:val="17"/>
        </w:numPr>
        <w:jc w:val="both"/>
        <w:rPr>
          <w:rFonts w:ascii="Times New Roman" w:hAnsi="Times New Roman" w:cs="Times New Roman"/>
          <w:sz w:val="24"/>
          <w:szCs w:val="24"/>
          <w:lang w:eastAsia="et-EE"/>
        </w:rPr>
      </w:pPr>
      <w:r>
        <w:t>k</w:t>
      </w:r>
      <w:r w:rsidR="00AF75E4" w:rsidRPr="001E4E63">
        <w:t>oolijuhtide täiend</w:t>
      </w:r>
      <w:r w:rsidR="00AF75E4">
        <w:t>us</w:t>
      </w:r>
      <w:r w:rsidR="00AF75E4" w:rsidRPr="001E4E63">
        <w:t>koolituse pakkujad seavad õppekavades kesksele kohale õppe-</w:t>
      </w:r>
      <w:r w:rsidR="008078B1">
        <w:t xml:space="preserve"> ja </w:t>
      </w:r>
      <w:r w:rsidR="00AF75E4" w:rsidRPr="001E4E63">
        <w:t>kasvatusprotsessi juhtimise ning uue õpikäsituse rakendamise</w:t>
      </w:r>
      <w:r>
        <w:t>;</w:t>
      </w:r>
    </w:p>
    <w:p w14:paraId="56EE5608" w14:textId="77777777" w:rsidR="00AF75E4" w:rsidRDefault="00881DB0" w:rsidP="004B46A2">
      <w:pPr>
        <w:pStyle w:val="ListParagraph"/>
        <w:numPr>
          <w:ilvl w:val="0"/>
          <w:numId w:val="17"/>
        </w:numPr>
        <w:jc w:val="both"/>
      </w:pPr>
      <w:r>
        <w:t>t</w:t>
      </w:r>
      <w:r w:rsidR="00AF75E4">
        <w:t>äiend</w:t>
      </w:r>
      <w:r w:rsidR="008078B1">
        <w:t>us</w:t>
      </w:r>
      <w:r w:rsidR="00AF75E4">
        <w:t>- ja ümberõppe kvaliteedi tagamiseks töötatakse välja kvaliteedinõuded koolituse pakkujale ning riiklikest vahenditest rahastatakse vaid neid koolitusi, mille pakkuja vastavus kvaliteedinõuetele on tõendatud</w:t>
      </w:r>
      <w:r>
        <w:t>;</w:t>
      </w:r>
    </w:p>
    <w:p w14:paraId="56EE5609" w14:textId="77777777" w:rsidR="00AF75E4" w:rsidRPr="001E4E63" w:rsidRDefault="00881DB0" w:rsidP="004B46A2">
      <w:pPr>
        <w:pStyle w:val="ListParagraph"/>
        <w:numPr>
          <w:ilvl w:val="0"/>
          <w:numId w:val="17"/>
        </w:numPr>
        <w:jc w:val="both"/>
      </w:pPr>
      <w:r>
        <w:t>õ</w:t>
      </w:r>
      <w:r w:rsidR="00AF75E4" w:rsidRPr="001E4E63">
        <w:t>ppeasutused loovad rohkem paindlikke võimalusi õpetajate ümberõppeks (uus ainevaldkond, haridustehnoloogi lisa</w:t>
      </w:r>
      <w:r w:rsidR="00AF75E4">
        <w:t>pädevus</w:t>
      </w:r>
      <w:r w:rsidR="008D3586">
        <w:t>, eripedagoogika alane lisapädevus</w:t>
      </w:r>
      <w:r w:rsidR="00AF75E4" w:rsidRPr="001E4E63">
        <w:t xml:space="preserve"> jms</w:t>
      </w:r>
      <w:r w:rsidRPr="001E4E63">
        <w:t>)</w:t>
      </w:r>
      <w:r>
        <w:t>;</w:t>
      </w:r>
    </w:p>
    <w:p w14:paraId="56EE560A" w14:textId="77777777" w:rsidR="00AF75E4" w:rsidRPr="001E4E63" w:rsidRDefault="00881DB0" w:rsidP="004B46A2">
      <w:pPr>
        <w:pStyle w:val="ListParagraph"/>
        <w:numPr>
          <w:ilvl w:val="0"/>
          <w:numId w:val="17"/>
        </w:numPr>
        <w:jc w:val="both"/>
      </w:pPr>
      <w:r>
        <w:t>l</w:t>
      </w:r>
      <w:r w:rsidR="00AF75E4">
        <w:t>uuakse</w:t>
      </w:r>
      <w:r w:rsidR="00AF75E4" w:rsidRPr="001E4E63">
        <w:t xml:space="preserve"> </w:t>
      </w:r>
      <w:r w:rsidR="00AF75E4">
        <w:t xml:space="preserve">võimalused asuda </w:t>
      </w:r>
      <w:r w:rsidR="00AF75E4" w:rsidRPr="001E4E63">
        <w:t>õpetajaametisse</w:t>
      </w:r>
      <w:r w:rsidR="00AF75E4">
        <w:t xml:space="preserve"> alternatiivsete õpiteede ja töökogemuse</w:t>
      </w:r>
      <w:r w:rsidR="001348D9">
        <w:t xml:space="preserve"> kaudu</w:t>
      </w:r>
      <w:r w:rsidR="00AF75E4">
        <w:t>.</w:t>
      </w:r>
    </w:p>
    <w:p w14:paraId="56EE560B" w14:textId="77777777" w:rsidR="00417A42" w:rsidRDefault="00321C77" w:rsidP="00E27473">
      <w:pPr>
        <w:spacing w:after="240"/>
        <w:jc w:val="both"/>
        <w:rPr>
          <w:color w:val="000000" w:themeColor="text1"/>
        </w:rPr>
      </w:pPr>
      <w:r>
        <w:rPr>
          <w:b/>
          <w:color w:val="000000" w:themeColor="text1"/>
        </w:rPr>
        <w:t>1.</w:t>
      </w:r>
      <w:r w:rsidR="00AF75E4" w:rsidRPr="005F7EAE">
        <w:rPr>
          <w:b/>
          <w:color w:val="000000" w:themeColor="text1"/>
        </w:rPr>
        <w:t>4</w:t>
      </w:r>
      <w:r w:rsidR="00AF75E4" w:rsidRPr="001E4E63">
        <w:rPr>
          <w:color w:val="000000" w:themeColor="text1"/>
        </w:rPr>
        <w:t xml:space="preserve">. </w:t>
      </w:r>
      <w:r w:rsidR="00AF75E4" w:rsidRPr="001E4E63">
        <w:rPr>
          <w:b/>
          <w:color w:val="000000" w:themeColor="text1"/>
        </w:rPr>
        <w:t xml:space="preserve"> Õpikäsituse rakendamist toetavate koostöövormide loomine ja toetamine</w:t>
      </w:r>
      <w:r w:rsidR="00BF1C77">
        <w:rPr>
          <w:b/>
          <w:color w:val="000000" w:themeColor="text1"/>
        </w:rPr>
        <w:t>.</w:t>
      </w:r>
      <w:r w:rsidR="00AF75E4" w:rsidRPr="001E4E63">
        <w:rPr>
          <w:color w:val="000000" w:themeColor="text1"/>
        </w:rPr>
        <w:t xml:space="preserve"> </w:t>
      </w:r>
      <w:r w:rsidR="00AF75E4">
        <w:rPr>
          <w:color w:val="000000" w:themeColor="text1"/>
        </w:rPr>
        <w:t>Koostöö selle</w:t>
      </w:r>
      <w:r w:rsidR="00AF75E4" w:rsidRPr="001E4E63">
        <w:rPr>
          <w:color w:val="000000" w:themeColor="text1"/>
        </w:rPr>
        <w:t xml:space="preserve"> kõige </w:t>
      </w:r>
      <w:r w:rsidR="00AF75E4" w:rsidRPr="00BB162D">
        <w:rPr>
          <w:color w:val="000000" w:themeColor="text1"/>
        </w:rPr>
        <w:t xml:space="preserve">erinevamates vormides on haridussüsteemi edu võti: oluline on </w:t>
      </w:r>
      <w:r w:rsidR="00AF75E4">
        <w:rPr>
          <w:color w:val="000000" w:themeColor="text1"/>
        </w:rPr>
        <w:t>koostöö õpetajate ja õppeasutuste vahel, kooli koostöö lapsevanematega, aga ka koostöö kooli ja kohaliku omavalitsuse ning piirkondlike ettevõtete vahel. Huvihariduse lõimimine formaalharidusega ning õppetöö läbiviimine väljaspool koolikeskkonda</w:t>
      </w:r>
      <w:r w:rsidR="00285645">
        <w:rPr>
          <w:color w:val="000000" w:themeColor="text1"/>
        </w:rPr>
        <w:t xml:space="preserve"> </w:t>
      </w:r>
      <w:r w:rsidR="00285645" w:rsidRPr="00285645">
        <w:rPr>
          <w:color w:val="000000" w:themeColor="text1"/>
        </w:rPr>
        <w:t xml:space="preserve">(ettevõtted, noortekeskused, </w:t>
      </w:r>
      <w:r w:rsidR="006B70FB">
        <w:rPr>
          <w:color w:val="000000" w:themeColor="text1"/>
        </w:rPr>
        <w:t xml:space="preserve">loodus- ja keskkonnahariduskeskused, </w:t>
      </w:r>
      <w:r w:rsidR="00285645" w:rsidRPr="00285645">
        <w:rPr>
          <w:color w:val="000000" w:themeColor="text1"/>
        </w:rPr>
        <w:t>muuseumid, raamatukogud jt kultuuriasutused)</w:t>
      </w:r>
      <w:r w:rsidR="00AF75E4">
        <w:rPr>
          <w:color w:val="000000" w:themeColor="text1"/>
        </w:rPr>
        <w:t xml:space="preserve"> rikastab õppeprotsessi</w:t>
      </w:r>
      <w:r w:rsidR="00AF75E4" w:rsidRPr="00A27977">
        <w:rPr>
          <w:color w:val="000000" w:themeColor="text1"/>
        </w:rPr>
        <w:t xml:space="preserve">. </w:t>
      </w:r>
      <w:r w:rsidR="00E33E16" w:rsidRPr="00A27977">
        <w:rPr>
          <w:color w:val="000000" w:themeColor="text1"/>
        </w:rPr>
        <w:t>Eraldi tähelepanu vajab vene õppekeelega koolide kaasamine ühisprojektidesse ning nende algatuste toetamine.</w:t>
      </w:r>
      <w:r w:rsidR="00E33E16">
        <w:rPr>
          <w:color w:val="000000" w:themeColor="text1"/>
        </w:rPr>
        <w:t xml:space="preserve"> </w:t>
      </w:r>
      <w:r w:rsidR="00AF75E4">
        <w:rPr>
          <w:color w:val="000000" w:themeColor="text1"/>
        </w:rPr>
        <w:t>Kohaliku koostöö kõrval on Eesti jaoks kriitilise tähtsusega rahvusvahelis</w:t>
      </w:r>
      <w:r w:rsidR="00AE5D61">
        <w:rPr>
          <w:color w:val="000000" w:themeColor="text1"/>
        </w:rPr>
        <w:t>t</w:t>
      </w:r>
      <w:r w:rsidR="00AF75E4">
        <w:rPr>
          <w:color w:val="000000" w:themeColor="text1"/>
        </w:rPr>
        <w:t>e kogemus</w:t>
      </w:r>
      <w:r w:rsidR="00AE5D61">
        <w:rPr>
          <w:color w:val="000000" w:themeColor="text1"/>
        </w:rPr>
        <w:t>t</w:t>
      </w:r>
      <w:r w:rsidR="00AF75E4">
        <w:rPr>
          <w:color w:val="000000" w:themeColor="text1"/>
        </w:rPr>
        <w:t>e ja ekspertiisi kaasamine kõikidel haridustasemetel.</w:t>
      </w:r>
      <w:r w:rsidR="00E33E16">
        <w:rPr>
          <w:color w:val="000000" w:themeColor="text1"/>
        </w:rPr>
        <w:t xml:space="preserve"> </w:t>
      </w:r>
    </w:p>
    <w:p w14:paraId="56EE560C" w14:textId="77777777" w:rsidR="00AF75E4" w:rsidRPr="005F7EAE" w:rsidRDefault="00BF1C77" w:rsidP="00AF75E4">
      <w:pPr>
        <w:jc w:val="both"/>
        <w:rPr>
          <w:color w:val="000000" w:themeColor="text1"/>
        </w:rPr>
      </w:pPr>
      <w:r>
        <w:rPr>
          <w:color w:val="000000" w:themeColor="text1"/>
        </w:rPr>
        <w:t xml:space="preserve">Vajalikud </w:t>
      </w:r>
      <w:r w:rsidR="00AF75E4">
        <w:rPr>
          <w:color w:val="000000" w:themeColor="text1"/>
        </w:rPr>
        <w:t>tegevused:</w:t>
      </w:r>
    </w:p>
    <w:p w14:paraId="56EE560D" w14:textId="77777777" w:rsidR="000F2B0D" w:rsidRDefault="00881DB0" w:rsidP="004B46A2">
      <w:pPr>
        <w:pStyle w:val="ListParagraph"/>
        <w:numPr>
          <w:ilvl w:val="0"/>
          <w:numId w:val="28"/>
        </w:numPr>
        <w:jc w:val="both"/>
        <w:rPr>
          <w:color w:val="000000" w:themeColor="text1"/>
        </w:rPr>
      </w:pPr>
      <w:r>
        <w:rPr>
          <w:color w:val="000000" w:themeColor="text1"/>
        </w:rPr>
        <w:t>u</w:t>
      </w:r>
      <w:r w:rsidR="000F2B0D">
        <w:rPr>
          <w:color w:val="000000" w:themeColor="text1"/>
        </w:rPr>
        <w:t>ue õpikäsituse põhialuste tutvustamine ja kohalikku konteksti arvestavate rakendamisvõimaluste arutelu ko</w:t>
      </w:r>
      <w:r w:rsidR="007B11B4">
        <w:rPr>
          <w:color w:val="000000" w:themeColor="text1"/>
        </w:rPr>
        <w:t>olides, kaasates kõiki olulisi osapooli (</w:t>
      </w:r>
      <w:r w:rsidR="00C26E79">
        <w:rPr>
          <w:color w:val="000000" w:themeColor="text1"/>
        </w:rPr>
        <w:t xml:space="preserve">õppija, </w:t>
      </w:r>
      <w:r w:rsidR="007B11B4">
        <w:rPr>
          <w:color w:val="000000" w:themeColor="text1"/>
        </w:rPr>
        <w:t>õpetaja, koolijuht, lapsevanem, kooli pidaja, kohalik kultuuriasutus, ettevõtja</w:t>
      </w:r>
      <w:r>
        <w:rPr>
          <w:color w:val="000000" w:themeColor="text1"/>
        </w:rPr>
        <w:t>);</w:t>
      </w:r>
    </w:p>
    <w:p w14:paraId="56EE560E" w14:textId="77777777" w:rsidR="00AF75E4" w:rsidRPr="001E4E63" w:rsidRDefault="00AF75E4" w:rsidP="004B46A2">
      <w:pPr>
        <w:pStyle w:val="ListParagraph"/>
        <w:numPr>
          <w:ilvl w:val="0"/>
          <w:numId w:val="28"/>
        </w:numPr>
        <w:jc w:val="both"/>
        <w:rPr>
          <w:color w:val="000000" w:themeColor="text1"/>
        </w:rPr>
      </w:pPr>
      <w:r w:rsidRPr="001E4E63">
        <w:rPr>
          <w:color w:val="000000" w:themeColor="text1"/>
        </w:rPr>
        <w:t>Haridus- ja Teadusministeerium käivitab programmi, mille raames toetatakse õpetajate ja õppeasutuste omavahelist koostööd</w:t>
      </w:r>
      <w:r>
        <w:rPr>
          <w:color w:val="000000" w:themeColor="text1"/>
        </w:rPr>
        <w:t xml:space="preserve"> ja </w:t>
      </w:r>
      <w:r w:rsidRPr="001E4E63">
        <w:rPr>
          <w:color w:val="000000" w:themeColor="text1"/>
        </w:rPr>
        <w:t xml:space="preserve">üksteiselt õppimist </w:t>
      </w:r>
      <w:r>
        <w:rPr>
          <w:color w:val="000000" w:themeColor="text1"/>
        </w:rPr>
        <w:t>ning ühisprojekte kultuuriasutuste ja ettevõtetega</w:t>
      </w:r>
      <w:r w:rsidR="001348D9">
        <w:rPr>
          <w:color w:val="000000" w:themeColor="text1"/>
        </w:rPr>
        <w:t xml:space="preserve"> kõigil haridustasemetel</w:t>
      </w:r>
      <w:r>
        <w:rPr>
          <w:color w:val="000000" w:themeColor="text1"/>
        </w:rPr>
        <w:t>:</w:t>
      </w:r>
      <w:r w:rsidR="001348D9">
        <w:rPr>
          <w:color w:val="000000" w:themeColor="text1"/>
        </w:rPr>
        <w:t xml:space="preserve"> </w:t>
      </w:r>
      <w:r w:rsidRPr="00BB162D">
        <w:rPr>
          <w:color w:val="000000" w:themeColor="text1"/>
        </w:rPr>
        <w:t>õpetajate (sh õppejõudude) omavaheline koostöö aine õpitulemuste ja võtmepädevuste lõimisel, õpetajate ja tugispetsialistide koostöö õpilaste käitumisprobleemide lahendamisel ja õpirask</w:t>
      </w:r>
      <w:r w:rsidRPr="005F7EAE">
        <w:rPr>
          <w:color w:val="000000" w:themeColor="text1"/>
        </w:rPr>
        <w:t>uste analüüsi</w:t>
      </w:r>
      <w:r>
        <w:rPr>
          <w:color w:val="000000" w:themeColor="text1"/>
        </w:rPr>
        <w:t>mise</w:t>
      </w:r>
      <w:r w:rsidRPr="005F7EAE">
        <w:rPr>
          <w:color w:val="000000" w:themeColor="text1"/>
        </w:rPr>
        <w:t xml:space="preserve">l, </w:t>
      </w:r>
      <w:r>
        <w:rPr>
          <w:color w:val="000000" w:themeColor="text1"/>
        </w:rPr>
        <w:t xml:space="preserve">õpetajate ja õppejõudude </w:t>
      </w:r>
      <w:r w:rsidRPr="005F7EAE">
        <w:rPr>
          <w:color w:val="000000" w:themeColor="text1"/>
        </w:rPr>
        <w:t>koostöö uute metoodiliste lahenduste väljatöötamisel, tegevusuuringute läbiviimisel, ülikoolide õppejõudude ja teadurite ühisprojektid</w:t>
      </w:r>
      <w:r>
        <w:rPr>
          <w:color w:val="000000" w:themeColor="text1"/>
        </w:rPr>
        <w:t>,</w:t>
      </w:r>
      <w:r w:rsidRPr="005F7EAE">
        <w:rPr>
          <w:color w:val="000000" w:themeColor="text1"/>
        </w:rPr>
        <w:t xml:space="preserve"> </w:t>
      </w:r>
      <w:r>
        <w:rPr>
          <w:color w:val="000000" w:themeColor="text1"/>
        </w:rPr>
        <w:t>osalemine</w:t>
      </w:r>
      <w:r w:rsidRPr="005F7EAE">
        <w:rPr>
          <w:color w:val="000000" w:themeColor="text1"/>
        </w:rPr>
        <w:t xml:space="preserve"> rahvusvahelistes koostööprojektides ja võrdlusuuringutes</w:t>
      </w:r>
      <w:r>
        <w:rPr>
          <w:color w:val="000000" w:themeColor="text1"/>
        </w:rPr>
        <w:t xml:space="preserve"> jms</w:t>
      </w:r>
      <w:r w:rsidRPr="005F7EAE">
        <w:rPr>
          <w:color w:val="000000" w:themeColor="text1"/>
        </w:rPr>
        <w:t>.</w:t>
      </w:r>
    </w:p>
    <w:p w14:paraId="56EE560F" w14:textId="77777777" w:rsidR="00AF75E4" w:rsidRPr="001E4E63" w:rsidRDefault="00321C77" w:rsidP="00BD01A6">
      <w:pPr>
        <w:spacing w:before="240"/>
        <w:jc w:val="both"/>
      </w:pPr>
      <w:r>
        <w:rPr>
          <w:b/>
        </w:rPr>
        <w:t>1.</w:t>
      </w:r>
      <w:r w:rsidR="00AF75E4" w:rsidRPr="001E4E63">
        <w:rPr>
          <w:b/>
        </w:rPr>
        <w:t>5. Kompetentsikeskuste väljaarendamine</w:t>
      </w:r>
      <w:r w:rsidR="00AF75E4" w:rsidRPr="001E4E63">
        <w:t xml:space="preserve"> õpetajakoolituse ning kasvatusteaduste arengu eest vastutavate Tallinna Ülikooli ja Tartu Ülikooli juures koos kasvatusteaduslike uuringute programmi käivitamisega, mille teemade </w:t>
      </w:r>
      <w:r w:rsidR="00AF75E4">
        <w:t>valik</w:t>
      </w:r>
      <w:r w:rsidR="00AF75E4" w:rsidRPr="001E4E63">
        <w:t xml:space="preserve"> lähtub riigi haridusstrateegilistest prioriteetidest ja on suunatud kõigi haridustasemete arenguvajadustele. Mõlemad ülikoolid seavad õpetajakoolituse ja kasvatusteaduse oma prioriteetide hulka ning võtavad vastutuse </w:t>
      </w:r>
      <w:r w:rsidR="00AF75E4">
        <w:t xml:space="preserve">hariduse </w:t>
      </w:r>
      <w:r w:rsidR="00AF75E4" w:rsidRPr="001E4E63">
        <w:t xml:space="preserve">valdkonna arendamise </w:t>
      </w:r>
      <w:r w:rsidR="00AF75E4">
        <w:t xml:space="preserve">ja uue õpikäsituse rakendamise </w:t>
      </w:r>
      <w:r w:rsidR="00AF75E4" w:rsidRPr="001E4E63">
        <w:t>eest</w:t>
      </w:r>
      <w:r w:rsidR="00151D71">
        <w:t xml:space="preserve"> õppeasutuste ja tööandjate koostöös</w:t>
      </w:r>
      <w:r w:rsidR="00AF75E4" w:rsidRPr="001E4E63">
        <w:t>.  Keskuste tegevust hinnatakse regulaarselt, kaasates pädevaid eksperte.</w:t>
      </w:r>
    </w:p>
    <w:p w14:paraId="56EE5610" w14:textId="77777777" w:rsidR="00AF75E4" w:rsidRPr="001E4E63" w:rsidRDefault="00AF75E4" w:rsidP="00AF75E4">
      <w:pPr>
        <w:jc w:val="both"/>
      </w:pPr>
      <w:r w:rsidRPr="001E4E63">
        <w:t xml:space="preserve">Kompetentsikeskuste roll on </w:t>
      </w:r>
      <w:r w:rsidR="00881DB0">
        <w:t>järgmine:</w:t>
      </w:r>
    </w:p>
    <w:p w14:paraId="56EE5611" w14:textId="77777777" w:rsidR="00AF75E4" w:rsidRPr="001E4E63" w:rsidRDefault="00AF75E4" w:rsidP="004B46A2">
      <w:pPr>
        <w:pStyle w:val="ListParagraph"/>
        <w:numPr>
          <w:ilvl w:val="0"/>
          <w:numId w:val="18"/>
        </w:numPr>
        <w:jc w:val="both"/>
      </w:pPr>
      <w:r w:rsidRPr="001E4E63">
        <w:t>muuta õpetajakoolituse valdkonnas õppimine köitvaks</w:t>
      </w:r>
      <w:r>
        <w:t>;</w:t>
      </w:r>
      <w:r w:rsidRPr="001E4E63">
        <w:t xml:space="preserve"> </w:t>
      </w:r>
    </w:p>
    <w:p w14:paraId="56EE5612" w14:textId="77777777" w:rsidR="00AF75E4" w:rsidRPr="001E4E63" w:rsidRDefault="00AF75E4" w:rsidP="004B46A2">
      <w:pPr>
        <w:pStyle w:val="ListParagraph"/>
        <w:numPr>
          <w:ilvl w:val="0"/>
          <w:numId w:val="18"/>
        </w:numPr>
        <w:jc w:val="both"/>
      </w:pPr>
      <w:r w:rsidRPr="001E4E63">
        <w:t xml:space="preserve">tõhustada praktikat ja lõimida teoreetilised õpingud praktikaga; </w:t>
      </w:r>
    </w:p>
    <w:p w14:paraId="56EE5613" w14:textId="77777777" w:rsidR="00AF75E4" w:rsidRPr="00407D60" w:rsidRDefault="00AF75E4" w:rsidP="004B46A2">
      <w:pPr>
        <w:pStyle w:val="ListParagraph"/>
        <w:numPr>
          <w:ilvl w:val="0"/>
          <w:numId w:val="18"/>
        </w:numPr>
        <w:jc w:val="both"/>
      </w:pPr>
      <w:r w:rsidRPr="001E4E63">
        <w:t xml:space="preserve">koondada </w:t>
      </w:r>
      <w:r w:rsidRPr="002757EE">
        <w:t>maailma</w:t>
      </w:r>
      <w:r w:rsidRPr="00BB162D">
        <w:t xml:space="preserve"> parimad kogemused ja Eesti</w:t>
      </w:r>
      <w:r w:rsidRPr="00407D60">
        <w:t xml:space="preserve"> metoodiline oskusteave, analüüsida seda, levitada heade praktikate näiteid kõikidele Eesti haridusasutustele;</w:t>
      </w:r>
    </w:p>
    <w:p w14:paraId="56EE5614" w14:textId="77777777" w:rsidR="00AF75E4" w:rsidRPr="005F7EAE" w:rsidRDefault="00AF75E4" w:rsidP="004B46A2">
      <w:pPr>
        <w:pStyle w:val="ListParagraph"/>
        <w:numPr>
          <w:ilvl w:val="0"/>
          <w:numId w:val="18"/>
        </w:numPr>
        <w:jc w:val="both"/>
      </w:pPr>
      <w:r w:rsidRPr="005F7EAE">
        <w:t>pakkuda õpetajatele aine-, kutseõppe ja ülddidaktika alast nõustamist;</w:t>
      </w:r>
    </w:p>
    <w:p w14:paraId="56EE5615" w14:textId="77777777" w:rsidR="00AF75E4" w:rsidRPr="001E4E63" w:rsidRDefault="00AF75E4" w:rsidP="004B46A2">
      <w:pPr>
        <w:pStyle w:val="ListParagraph"/>
        <w:numPr>
          <w:ilvl w:val="0"/>
          <w:numId w:val="18"/>
        </w:numPr>
        <w:jc w:val="both"/>
      </w:pPr>
      <w:r w:rsidRPr="001E4E63">
        <w:t>pakkuda keskkonda uute innovaatiliste lahenduste väljatöötamiseks</w:t>
      </w:r>
      <w:r>
        <w:t xml:space="preserve"> ning panustada nende rakendamisse</w:t>
      </w:r>
      <w:r w:rsidRPr="001E4E63">
        <w:t xml:space="preserve">;  </w:t>
      </w:r>
    </w:p>
    <w:p w14:paraId="56EE5616" w14:textId="77777777" w:rsidR="00A94EDE" w:rsidRDefault="00843C08" w:rsidP="00A94EDE">
      <w:pPr>
        <w:pStyle w:val="ListParagraph"/>
        <w:numPr>
          <w:ilvl w:val="0"/>
          <w:numId w:val="18"/>
        </w:numPr>
        <w:jc w:val="both"/>
      </w:pPr>
      <w:r>
        <w:t>toetada</w:t>
      </w:r>
      <w:r w:rsidRPr="00134133">
        <w:t xml:space="preserve"> digi-innovatsiooni </w:t>
      </w:r>
      <w:r>
        <w:t>õppeasutustes;</w:t>
      </w:r>
    </w:p>
    <w:p w14:paraId="56EE5617" w14:textId="77777777" w:rsidR="009B68FD" w:rsidRDefault="009B68FD" w:rsidP="004B46A2">
      <w:pPr>
        <w:pStyle w:val="ListParagraph"/>
        <w:numPr>
          <w:ilvl w:val="0"/>
          <w:numId w:val="18"/>
        </w:numPr>
        <w:jc w:val="both"/>
      </w:pPr>
      <w:r>
        <w:t>viia läbi kasvatusteaduslikke uuringuid lähtuvalt riigi haridusstrateegilistest prioriteetidest;</w:t>
      </w:r>
    </w:p>
    <w:p w14:paraId="56EE5618" w14:textId="77777777" w:rsidR="00AF75E4" w:rsidRPr="001E4E63" w:rsidRDefault="00AF75E4" w:rsidP="004B46A2">
      <w:pPr>
        <w:pStyle w:val="ListParagraph"/>
        <w:numPr>
          <w:ilvl w:val="0"/>
          <w:numId w:val="18"/>
        </w:numPr>
        <w:jc w:val="both"/>
      </w:pPr>
      <w:r w:rsidRPr="001E4E63">
        <w:t>algatada ja koordineerida ülikoolide ja koolide ühisprojekte ja uuringuid;</w:t>
      </w:r>
    </w:p>
    <w:p w14:paraId="56EE5619" w14:textId="77777777" w:rsidR="00AF75E4" w:rsidRPr="00BB162D" w:rsidRDefault="00AF75E4" w:rsidP="004B46A2">
      <w:pPr>
        <w:pStyle w:val="ListParagraph"/>
        <w:numPr>
          <w:ilvl w:val="0"/>
          <w:numId w:val="18"/>
        </w:numPr>
        <w:jc w:val="both"/>
      </w:pPr>
      <w:r w:rsidRPr="001E4E63">
        <w:t>arvestada õppejõu töö hindamisel ja tasustamisel tema panust koolihariduse edendamis</w:t>
      </w:r>
      <w:r>
        <w:t>se</w:t>
      </w:r>
      <w:r w:rsidRPr="00BB162D">
        <w:t>;</w:t>
      </w:r>
    </w:p>
    <w:p w14:paraId="56EE561A" w14:textId="77777777" w:rsidR="00AF75E4" w:rsidRDefault="00AF75E4" w:rsidP="004B46A2">
      <w:pPr>
        <w:pStyle w:val="ListParagraph"/>
        <w:numPr>
          <w:ilvl w:val="0"/>
          <w:numId w:val="19"/>
        </w:numPr>
        <w:jc w:val="both"/>
      </w:pPr>
      <w:r>
        <w:t xml:space="preserve">pakkuda </w:t>
      </w:r>
      <w:r w:rsidRPr="00407D60">
        <w:t>õpikäsituse rakendamiseks kõrghariduses kõrgkoolididaktika kursus</w:t>
      </w:r>
      <w:r>
        <w:t>i</w:t>
      </w:r>
      <w:r w:rsidRPr="00407D60">
        <w:t>, mille arendus toetub vastavale teadus- ja arendustööle ning mille valik on mitmekesine, erinevate õppijate ootuste ja vajadustega</w:t>
      </w:r>
      <w:r>
        <w:t xml:space="preserve"> arvestav</w:t>
      </w:r>
      <w:r w:rsidRPr="00407D60">
        <w:t>.</w:t>
      </w:r>
    </w:p>
    <w:p w14:paraId="56EE561B" w14:textId="77777777" w:rsidR="009B68FD" w:rsidRDefault="009B68FD" w:rsidP="00AF75E4">
      <w:pPr>
        <w:spacing w:after="0" w:line="360" w:lineRule="auto"/>
        <w:rPr>
          <w:b/>
          <w:color w:val="1F497D" w:themeColor="text2"/>
          <w:sz w:val="28"/>
          <w:szCs w:val="28"/>
        </w:rPr>
      </w:pPr>
    </w:p>
    <w:p w14:paraId="56EE561C" w14:textId="77777777" w:rsidR="00AF75E4" w:rsidRPr="001E4E63" w:rsidRDefault="00AF75E4" w:rsidP="001947EC">
      <w:pPr>
        <w:pStyle w:val="Heading2"/>
        <w:numPr>
          <w:ilvl w:val="0"/>
          <w:numId w:val="37"/>
        </w:numPr>
      </w:pPr>
      <w:bookmarkStart w:id="7" w:name="_Toc376952248"/>
      <w:r w:rsidRPr="001E4E63">
        <w:t xml:space="preserve">Pädevad ja motiveeritud õpetajad </w:t>
      </w:r>
      <w:r w:rsidR="00B17565">
        <w:t>ning</w:t>
      </w:r>
      <w:r w:rsidRPr="001E4E63">
        <w:t xml:space="preserve"> </w:t>
      </w:r>
      <w:r w:rsidR="00B17565">
        <w:t>kooli</w:t>
      </w:r>
      <w:r w:rsidRPr="001E4E63">
        <w:t>juhid</w:t>
      </w:r>
      <w:bookmarkEnd w:id="7"/>
      <w:r w:rsidRPr="001E4E63">
        <w:t xml:space="preserve"> </w:t>
      </w:r>
    </w:p>
    <w:p w14:paraId="56EE561D" w14:textId="77777777" w:rsidR="00AF75E4" w:rsidRPr="0003121C" w:rsidRDefault="00AF75E4" w:rsidP="00E47CAF">
      <w:pPr>
        <w:spacing w:before="240"/>
        <w:jc w:val="both"/>
      </w:pPr>
      <w:r w:rsidRPr="001E4E63">
        <w:t xml:space="preserve">Õpetaja ja  õppeasutuse juhi roll on muutuste elluviimisel võtmetähtsusega. Õpetaja ja õppeasutuse juhi ühiskondlik kuvand peab muutuma: palk </w:t>
      </w:r>
      <w:r>
        <w:t xml:space="preserve">peab </w:t>
      </w:r>
      <w:r w:rsidRPr="0003121C">
        <w:t xml:space="preserve">olema konkurentsivõimeline ning töökorraldus selline, et õpetaja ja koolijuhina töötamine oleks ühiskonnas auasi, köitev valik parimatele. </w:t>
      </w:r>
    </w:p>
    <w:p w14:paraId="56EE561E" w14:textId="77777777" w:rsidR="00AF75E4" w:rsidRPr="0003121C" w:rsidRDefault="00AF75E4" w:rsidP="00AF75E4">
      <w:pPr>
        <w:jc w:val="both"/>
        <w:rPr>
          <w:b/>
        </w:rPr>
      </w:pPr>
      <w:r w:rsidRPr="0003121C">
        <w:rPr>
          <w:b/>
        </w:rPr>
        <w:t xml:space="preserve">Eesmärk on </w:t>
      </w:r>
      <w:r>
        <w:rPr>
          <w:b/>
        </w:rPr>
        <w:t xml:space="preserve">viia </w:t>
      </w:r>
      <w:r w:rsidRPr="0003121C">
        <w:rPr>
          <w:b/>
        </w:rPr>
        <w:t>õpetaja/õppejõu ja koolijuhi töö hindami</w:t>
      </w:r>
      <w:r>
        <w:rPr>
          <w:b/>
        </w:rPr>
        <w:t>n</w:t>
      </w:r>
      <w:r w:rsidRPr="0003121C">
        <w:rPr>
          <w:b/>
        </w:rPr>
        <w:t>e ja tasustami</w:t>
      </w:r>
      <w:r>
        <w:rPr>
          <w:b/>
        </w:rPr>
        <w:t>n</w:t>
      </w:r>
      <w:r w:rsidRPr="0003121C">
        <w:rPr>
          <w:b/>
        </w:rPr>
        <w:t>e vastavusse nende</w:t>
      </w:r>
      <w:r>
        <w:rPr>
          <w:b/>
        </w:rPr>
        <w:t>le</w:t>
      </w:r>
      <w:r w:rsidRPr="0003121C">
        <w:rPr>
          <w:b/>
        </w:rPr>
        <w:t xml:space="preserve"> ametikohtade</w:t>
      </w:r>
      <w:r>
        <w:rPr>
          <w:b/>
        </w:rPr>
        <w:t>le</w:t>
      </w:r>
      <w:r w:rsidRPr="0003121C">
        <w:rPr>
          <w:b/>
        </w:rPr>
        <w:t xml:space="preserve"> esitatavate nõuete ja töö tulemuslikkusega. </w:t>
      </w:r>
    </w:p>
    <w:p w14:paraId="56EE561F" w14:textId="77777777" w:rsidR="00AF75E4" w:rsidRPr="005F7EAE" w:rsidRDefault="00AF75E4" w:rsidP="00937147">
      <w:pPr>
        <w:spacing w:after="0" w:line="360" w:lineRule="auto"/>
        <w:rPr>
          <w:b/>
          <w:color w:val="1F497D" w:themeColor="text2"/>
          <w:sz w:val="24"/>
          <w:szCs w:val="24"/>
        </w:rPr>
      </w:pPr>
      <w:r w:rsidRPr="005F7EAE">
        <w:rPr>
          <w:b/>
          <w:color w:val="1F497D" w:themeColor="text2"/>
          <w:sz w:val="24"/>
          <w:szCs w:val="24"/>
        </w:rPr>
        <w:t>Strateegilised meetmed</w:t>
      </w:r>
    </w:p>
    <w:p w14:paraId="56EE5620" w14:textId="77777777" w:rsidR="00AF75E4" w:rsidRPr="005F7EAE" w:rsidRDefault="00321C77" w:rsidP="00DF2697">
      <w:pPr>
        <w:spacing w:before="240" w:after="0"/>
        <w:jc w:val="both"/>
      </w:pPr>
      <w:r>
        <w:rPr>
          <w:b/>
        </w:rPr>
        <w:t xml:space="preserve">2.1. </w:t>
      </w:r>
      <w:r w:rsidR="00AF75E4" w:rsidRPr="00321C77">
        <w:rPr>
          <w:b/>
        </w:rPr>
        <w:t>Õpetajate keskmise töötasu tõstmine tasemele, mis tagab selle</w:t>
      </w:r>
      <w:r w:rsidR="00AF75E4" w:rsidRPr="001E4E63">
        <w:t>, et koolis töötamine muutu</w:t>
      </w:r>
      <w:r w:rsidR="00AF75E4">
        <w:t>b</w:t>
      </w:r>
      <w:r w:rsidR="00AF75E4" w:rsidRPr="001E4E63">
        <w:t xml:space="preserve"> arvestatavaks valikuks parimatele. Õpetaja keskmine palk tuleb tõsta tasemele, mis on võrdne Eesti kõrgharidusega spetsialisti </w:t>
      </w:r>
      <w:r w:rsidR="00AF75E4" w:rsidRPr="000417DE">
        <w:t>keskmise</w:t>
      </w:r>
      <w:r w:rsidR="00AF75E4" w:rsidRPr="005F7EAE">
        <w:t xml:space="preserve"> palgaga, et</w:t>
      </w:r>
    </w:p>
    <w:p w14:paraId="56EE5621" w14:textId="77777777" w:rsidR="00AF75E4" w:rsidRPr="001E4E63" w:rsidRDefault="00AF75E4" w:rsidP="00DF2697">
      <w:pPr>
        <w:pStyle w:val="ListParagraph"/>
        <w:numPr>
          <w:ilvl w:val="0"/>
          <w:numId w:val="51"/>
        </w:numPr>
        <w:spacing w:after="0"/>
        <w:jc w:val="both"/>
      </w:pPr>
      <w:r w:rsidRPr="001E4E63">
        <w:t>suurendada õpetajakutse atraktiivsust (sh noorte ja meeste seas)</w:t>
      </w:r>
      <w:r>
        <w:t>;</w:t>
      </w:r>
      <w:r w:rsidRPr="001E4E63">
        <w:t xml:space="preserve"> </w:t>
      </w:r>
    </w:p>
    <w:p w14:paraId="56EE5622" w14:textId="77777777" w:rsidR="00AF75E4" w:rsidRDefault="00AF75E4" w:rsidP="00DF2697">
      <w:pPr>
        <w:pStyle w:val="ListParagraph"/>
        <w:numPr>
          <w:ilvl w:val="0"/>
          <w:numId w:val="51"/>
        </w:numPr>
        <w:spacing w:after="0"/>
        <w:jc w:val="both"/>
      </w:pPr>
      <w:r w:rsidRPr="001E4E63">
        <w:t>luua õpetaja ametikohale</w:t>
      </w:r>
      <w:r w:rsidRPr="00802968">
        <w:t xml:space="preserve"> </w:t>
      </w:r>
      <w:r w:rsidRPr="001E4E63">
        <w:t>konkurents, mis võimaldab ametisse valida parimaid</w:t>
      </w:r>
      <w:r>
        <w:t>;</w:t>
      </w:r>
    </w:p>
    <w:p w14:paraId="56EE5623" w14:textId="77777777" w:rsidR="003C63BC" w:rsidRPr="001E4E63" w:rsidRDefault="003C63BC" w:rsidP="00DF2697">
      <w:pPr>
        <w:pStyle w:val="ListParagraph"/>
        <w:numPr>
          <w:ilvl w:val="0"/>
          <w:numId w:val="51"/>
        </w:numPr>
        <w:spacing w:after="0"/>
        <w:jc w:val="both"/>
      </w:pPr>
      <w:r w:rsidRPr="001E4E63">
        <w:t xml:space="preserve">võimaldada õpetajate töötasu </w:t>
      </w:r>
      <w:r w:rsidRPr="00633B84">
        <w:t>diferentseeri</w:t>
      </w:r>
      <w:r>
        <w:t>mist</w:t>
      </w:r>
      <w:r w:rsidRPr="00633B84">
        <w:t xml:space="preserve"> </w:t>
      </w:r>
      <w:r w:rsidRPr="005F7EAE">
        <w:t xml:space="preserve">lähtuvalt töö tulemuslikkusest. </w:t>
      </w:r>
      <w:r>
        <w:t xml:space="preserve">  </w:t>
      </w:r>
    </w:p>
    <w:p w14:paraId="56EE5624" w14:textId="77777777" w:rsidR="00BD01A6" w:rsidRPr="003C63BC" w:rsidRDefault="00BD01A6" w:rsidP="003C63BC">
      <w:pPr>
        <w:pStyle w:val="ListParagraph"/>
        <w:spacing w:after="240"/>
        <w:ind w:left="0"/>
        <w:jc w:val="both"/>
        <w:rPr>
          <w:b/>
        </w:rPr>
      </w:pPr>
    </w:p>
    <w:p w14:paraId="56EE5625" w14:textId="77777777" w:rsidR="00BF1C77" w:rsidRDefault="00321C77" w:rsidP="003C63BC">
      <w:pPr>
        <w:pStyle w:val="ListParagraph"/>
        <w:spacing w:after="240"/>
        <w:ind w:left="0"/>
        <w:jc w:val="both"/>
      </w:pPr>
      <w:r>
        <w:rPr>
          <w:b/>
        </w:rPr>
        <w:t xml:space="preserve">2.2. </w:t>
      </w:r>
      <w:r w:rsidR="00AF75E4" w:rsidRPr="00321C77">
        <w:rPr>
          <w:b/>
        </w:rPr>
        <w:t xml:space="preserve">Õpetaja töö hindamine ning tööpanusest ja tulemuslikkusest lähtuva tasumäära kehtestamine. </w:t>
      </w:r>
      <w:r w:rsidR="00AF75E4" w:rsidRPr="001E4E63">
        <w:t>Õpetaja töö hindamisel on võtmeroll koolijuhil. Koolijuhi ülesanne on tööaja- ja palgakorralduse reeglid kollektiivis läbi rääkida ja kehtestada, anda õpetajale regulaarselt tagasisidet tema tööpanuse ja tulemuslikkuse kohta ning toetada õpetaja professionaalset ja isiksuslikku arengut.</w:t>
      </w:r>
      <w:r w:rsidR="00AF75E4" w:rsidRPr="00321C77">
        <w:rPr>
          <w:b/>
        </w:rPr>
        <w:t xml:space="preserve"> </w:t>
      </w:r>
      <w:r w:rsidR="00AF75E4" w:rsidRPr="00802968">
        <w:t>Üldtööaja põhine lähenemine</w:t>
      </w:r>
      <w:r w:rsidR="00AF75E4" w:rsidRPr="00632CE3">
        <w:t xml:space="preserve"> võimaldab koolijuhil tegelikku töökoormust õpetajate vahel</w:t>
      </w:r>
      <w:r w:rsidR="00AF75E4" w:rsidRPr="00224E11">
        <w:t xml:space="preserve"> </w:t>
      </w:r>
      <w:r w:rsidR="00AF75E4" w:rsidRPr="003E76A3">
        <w:t>ühtlasemalt jagada</w:t>
      </w:r>
      <w:r w:rsidR="00AF75E4">
        <w:t xml:space="preserve"> ja</w:t>
      </w:r>
      <w:r w:rsidR="00AF75E4" w:rsidRPr="00224E11">
        <w:t xml:space="preserve"> motiveerib osalema kooli arendustegevuses</w:t>
      </w:r>
      <w:r w:rsidR="00AF75E4">
        <w:t xml:space="preserve">. </w:t>
      </w:r>
    </w:p>
    <w:p w14:paraId="56EE5626" w14:textId="77777777" w:rsidR="00246B62" w:rsidRDefault="00246B62" w:rsidP="003C63BC">
      <w:pPr>
        <w:pStyle w:val="ListParagraph"/>
        <w:spacing w:after="240"/>
        <w:ind w:left="0"/>
        <w:jc w:val="both"/>
      </w:pPr>
    </w:p>
    <w:p w14:paraId="56EE5627" w14:textId="77777777" w:rsidR="00AF75E4" w:rsidRPr="00224E11" w:rsidRDefault="00BF1C77" w:rsidP="003C63BC">
      <w:pPr>
        <w:pStyle w:val="ListParagraph"/>
        <w:spacing w:after="240"/>
        <w:ind w:left="0"/>
        <w:jc w:val="both"/>
      </w:pPr>
      <w:r>
        <w:t>V</w:t>
      </w:r>
      <w:r w:rsidR="00AF75E4" w:rsidRPr="00224E11">
        <w:t>ajalikud tegevused:</w:t>
      </w:r>
      <w:r w:rsidR="00AF75E4">
        <w:t xml:space="preserve"> </w:t>
      </w:r>
    </w:p>
    <w:p w14:paraId="56EE5628" w14:textId="77777777" w:rsidR="00AF75E4" w:rsidRPr="005F7EAE" w:rsidRDefault="00382716" w:rsidP="003C63BC">
      <w:pPr>
        <w:pStyle w:val="ListParagraph"/>
        <w:numPr>
          <w:ilvl w:val="0"/>
          <w:numId w:val="23"/>
        </w:numPr>
        <w:spacing w:before="240" w:after="150"/>
        <w:ind w:right="150"/>
        <w:jc w:val="both"/>
        <w:rPr>
          <w:rFonts w:ascii="Segoe UI" w:eastAsia="Times New Roman" w:hAnsi="Segoe UI" w:cs="Segoe UI"/>
          <w:sz w:val="27"/>
          <w:szCs w:val="27"/>
          <w:lang w:eastAsia="et-EE"/>
        </w:rPr>
      </w:pPr>
      <w:r>
        <w:rPr>
          <w:rFonts w:ascii="Calibri" w:eastAsia="Times New Roman" w:hAnsi="Calibri" w:cs="Segoe UI"/>
          <w:lang w:eastAsia="et-EE"/>
        </w:rPr>
        <w:t>l</w:t>
      </w:r>
      <w:r w:rsidR="00CD7C7D">
        <w:rPr>
          <w:rFonts w:ascii="Calibri" w:eastAsia="Times New Roman" w:hAnsi="Calibri" w:cs="Segoe UI"/>
          <w:lang w:eastAsia="et-EE"/>
        </w:rPr>
        <w:t xml:space="preserve">uuakse </w:t>
      </w:r>
      <w:r w:rsidR="00881DB0">
        <w:rPr>
          <w:rFonts w:ascii="Calibri" w:eastAsia="Times New Roman" w:hAnsi="Calibri" w:cs="Segoe UI"/>
          <w:lang w:eastAsia="et-EE"/>
        </w:rPr>
        <w:t>k</w:t>
      </w:r>
      <w:r w:rsidR="00AF75E4" w:rsidRPr="001E4E63">
        <w:rPr>
          <w:rFonts w:ascii="Calibri" w:eastAsia="Times New Roman" w:hAnsi="Calibri" w:cs="Segoe UI"/>
          <w:lang w:eastAsia="et-EE"/>
        </w:rPr>
        <w:t>asutajasõbralik eneseanalüüsikeskkon</w:t>
      </w:r>
      <w:r w:rsidR="00CD7C7D">
        <w:rPr>
          <w:rFonts w:ascii="Calibri" w:eastAsia="Times New Roman" w:hAnsi="Calibri" w:cs="Segoe UI"/>
          <w:lang w:eastAsia="et-EE"/>
        </w:rPr>
        <w:t>d</w:t>
      </w:r>
      <w:r w:rsidR="00AF75E4" w:rsidRPr="001E4E63">
        <w:rPr>
          <w:rFonts w:ascii="Calibri" w:eastAsia="Times New Roman" w:hAnsi="Calibri" w:cs="Segoe UI"/>
          <w:lang w:eastAsia="et-EE"/>
        </w:rPr>
        <w:t>, milles õpetajal on võimalik oma oskusi testida</w:t>
      </w:r>
      <w:r w:rsidR="00881DB0">
        <w:rPr>
          <w:rFonts w:ascii="Calibri" w:eastAsia="Times New Roman" w:hAnsi="Calibri" w:cs="Segoe UI"/>
          <w:lang w:eastAsia="et-EE"/>
        </w:rPr>
        <w:t>;</w:t>
      </w:r>
      <w:r w:rsidR="00881DB0" w:rsidRPr="001E4E63">
        <w:rPr>
          <w:rFonts w:ascii="Calibri" w:eastAsia="Times New Roman" w:hAnsi="Calibri" w:cs="Segoe UI"/>
          <w:lang w:eastAsia="et-EE"/>
        </w:rPr>
        <w:t xml:space="preserve"> </w:t>
      </w:r>
      <w:r w:rsidR="00881DB0">
        <w:rPr>
          <w:rFonts w:ascii="Calibri" w:eastAsia="Times New Roman" w:hAnsi="Calibri" w:cs="Segoe UI"/>
          <w:lang w:eastAsia="et-EE"/>
        </w:rPr>
        <w:t>e</w:t>
      </w:r>
      <w:r w:rsidR="00AF75E4" w:rsidRPr="001E4E63">
        <w:rPr>
          <w:rFonts w:ascii="Calibri" w:eastAsia="Times New Roman" w:hAnsi="Calibri" w:cs="Segoe UI"/>
          <w:lang w:eastAsia="et-EE"/>
        </w:rPr>
        <w:t>neseanalüüsikeskkond lähtub õpetaja kutsestandardites kirjeldatud pädevustest</w:t>
      </w:r>
      <w:r w:rsidR="00290E02">
        <w:rPr>
          <w:rFonts w:ascii="Calibri" w:eastAsia="Times New Roman" w:hAnsi="Calibri" w:cs="Segoe UI"/>
          <w:lang w:eastAsia="et-EE"/>
        </w:rPr>
        <w:t>;</w:t>
      </w:r>
    </w:p>
    <w:p w14:paraId="56EE5629" w14:textId="77777777" w:rsidR="00AF75E4" w:rsidRPr="001E4E63" w:rsidRDefault="00382716" w:rsidP="003C63BC">
      <w:pPr>
        <w:pStyle w:val="ListParagraph"/>
        <w:numPr>
          <w:ilvl w:val="0"/>
          <w:numId w:val="23"/>
        </w:numPr>
        <w:spacing w:after="150"/>
        <w:ind w:right="150"/>
        <w:jc w:val="both"/>
        <w:rPr>
          <w:rFonts w:ascii="Segoe UI" w:eastAsia="Times New Roman" w:hAnsi="Segoe UI" w:cs="Segoe UI"/>
          <w:sz w:val="27"/>
          <w:szCs w:val="27"/>
          <w:lang w:eastAsia="et-EE"/>
        </w:rPr>
      </w:pPr>
      <w:r>
        <w:rPr>
          <w:rFonts w:ascii="Calibri" w:eastAsia="Times New Roman" w:hAnsi="Calibri" w:cs="Segoe UI"/>
          <w:lang w:eastAsia="et-EE"/>
        </w:rPr>
        <w:t>õ</w:t>
      </w:r>
      <w:r w:rsidR="00CD7C7D">
        <w:rPr>
          <w:rFonts w:ascii="Calibri" w:eastAsia="Times New Roman" w:hAnsi="Calibri" w:cs="Segoe UI"/>
          <w:lang w:eastAsia="et-EE"/>
        </w:rPr>
        <w:t xml:space="preserve">ppeasutustes korraldatakse õpetajatega regulaarselt arenguvestlusi,  </w:t>
      </w:r>
      <w:r w:rsidR="00246B62">
        <w:rPr>
          <w:rFonts w:ascii="Calibri" w:eastAsia="Times New Roman" w:hAnsi="Calibri" w:cs="Segoe UI"/>
          <w:lang w:eastAsia="et-EE"/>
        </w:rPr>
        <w:t xml:space="preserve">mille keskmes on uue </w:t>
      </w:r>
      <w:r w:rsidR="00AF75E4" w:rsidRPr="00632CE3">
        <w:rPr>
          <w:rFonts w:ascii="Calibri" w:eastAsia="Times New Roman" w:hAnsi="Calibri" w:cs="Segoe UI"/>
          <w:lang w:eastAsia="et-EE"/>
        </w:rPr>
        <w:t>õpikäsituse rakendami</w:t>
      </w:r>
      <w:r w:rsidR="00246B62">
        <w:rPr>
          <w:rFonts w:ascii="Calibri" w:eastAsia="Times New Roman" w:hAnsi="Calibri" w:cs="Segoe UI"/>
          <w:lang w:eastAsia="et-EE"/>
        </w:rPr>
        <w:t>ne. K</w:t>
      </w:r>
      <w:r w:rsidR="00AF75E4" w:rsidRPr="00632CE3">
        <w:rPr>
          <w:rFonts w:ascii="Calibri" w:eastAsia="Times New Roman" w:hAnsi="Calibri" w:cs="Segoe UI"/>
          <w:lang w:eastAsia="et-EE"/>
        </w:rPr>
        <w:t xml:space="preserve">oolijuht </w:t>
      </w:r>
      <w:r w:rsidR="00246B62">
        <w:rPr>
          <w:rFonts w:ascii="Calibri" w:eastAsia="Times New Roman" w:hAnsi="Calibri" w:cs="Segoe UI"/>
          <w:lang w:eastAsia="et-EE"/>
        </w:rPr>
        <w:t>motiveerib õpetajat</w:t>
      </w:r>
      <w:r w:rsidR="00AF75E4" w:rsidRPr="00632CE3">
        <w:rPr>
          <w:rFonts w:ascii="Calibri" w:eastAsia="Times New Roman" w:hAnsi="Calibri" w:cs="Segoe UI"/>
          <w:lang w:eastAsia="et-EE"/>
        </w:rPr>
        <w:t xml:space="preserve"> individuaalse</w:t>
      </w:r>
      <w:r w:rsidR="00246B62">
        <w:rPr>
          <w:rFonts w:ascii="Calibri" w:eastAsia="Times New Roman" w:hAnsi="Calibri" w:cs="Segoe UI"/>
          <w:lang w:eastAsia="et-EE"/>
        </w:rPr>
        <w:t>lt</w:t>
      </w:r>
      <w:r w:rsidR="00AF75E4" w:rsidRPr="00632CE3">
        <w:rPr>
          <w:rFonts w:ascii="Calibri" w:eastAsia="Times New Roman" w:hAnsi="Calibri" w:cs="Segoe UI"/>
          <w:lang w:eastAsia="et-EE"/>
        </w:rPr>
        <w:t xml:space="preserve"> lähenem</w:t>
      </w:r>
      <w:r w:rsidR="00246B62">
        <w:rPr>
          <w:rFonts w:ascii="Calibri" w:eastAsia="Times New Roman" w:hAnsi="Calibri" w:cs="Segoe UI"/>
          <w:lang w:eastAsia="et-EE"/>
        </w:rPr>
        <w:t>a</w:t>
      </w:r>
      <w:r w:rsidR="00AF75E4" w:rsidRPr="00632CE3">
        <w:rPr>
          <w:rFonts w:ascii="Calibri" w:eastAsia="Times New Roman" w:hAnsi="Calibri" w:cs="Segoe UI"/>
          <w:lang w:eastAsia="et-EE"/>
        </w:rPr>
        <w:t xml:space="preserve"> igale õppijale, osalema kooli ar</w:t>
      </w:r>
      <w:r w:rsidR="00AF75E4" w:rsidRPr="00386808">
        <w:rPr>
          <w:rFonts w:ascii="Calibri" w:eastAsia="Times New Roman" w:hAnsi="Calibri" w:cs="Segoe UI"/>
          <w:lang w:eastAsia="et-EE"/>
        </w:rPr>
        <w:t>endustegevus</w:t>
      </w:r>
      <w:r w:rsidR="00AF75E4">
        <w:rPr>
          <w:rFonts w:ascii="Calibri" w:eastAsia="Times New Roman" w:hAnsi="Calibri" w:cs="Segoe UI"/>
          <w:lang w:eastAsia="et-EE"/>
        </w:rPr>
        <w:t>t</w:t>
      </w:r>
      <w:r w:rsidR="00AF75E4" w:rsidRPr="00386808">
        <w:rPr>
          <w:rFonts w:ascii="Calibri" w:eastAsia="Times New Roman" w:hAnsi="Calibri" w:cs="Segoe UI"/>
          <w:lang w:eastAsia="et-EE"/>
        </w:rPr>
        <w:t>es ning õpetajakoolituse erinevates vormides</w:t>
      </w:r>
      <w:r w:rsidR="00290E02">
        <w:rPr>
          <w:rFonts w:ascii="Calibri" w:eastAsia="Times New Roman" w:hAnsi="Calibri" w:cs="Segoe UI"/>
          <w:lang w:eastAsia="et-EE"/>
        </w:rPr>
        <w:t>;</w:t>
      </w:r>
    </w:p>
    <w:p w14:paraId="56EE562A" w14:textId="77777777" w:rsidR="00AF75E4" w:rsidRPr="001E4E63" w:rsidRDefault="00382716" w:rsidP="003C63BC">
      <w:pPr>
        <w:pStyle w:val="ListParagraph"/>
        <w:numPr>
          <w:ilvl w:val="0"/>
          <w:numId w:val="23"/>
        </w:numPr>
        <w:spacing w:after="150"/>
        <w:ind w:right="150"/>
        <w:jc w:val="both"/>
        <w:rPr>
          <w:rFonts w:ascii="Segoe UI" w:eastAsia="Times New Roman" w:hAnsi="Segoe UI" w:cs="Segoe UI"/>
          <w:sz w:val="27"/>
          <w:szCs w:val="27"/>
          <w:lang w:eastAsia="et-EE"/>
        </w:rPr>
      </w:pPr>
      <w:r>
        <w:rPr>
          <w:rFonts w:ascii="Calibri" w:eastAsia="Times New Roman" w:hAnsi="Calibri" w:cs="Segoe UI"/>
          <w:lang w:eastAsia="et-EE"/>
        </w:rPr>
        <w:t>o</w:t>
      </w:r>
      <w:r w:rsidR="00AF75E4" w:rsidRPr="001E4E63">
        <w:rPr>
          <w:rFonts w:ascii="Calibri" w:eastAsia="Times New Roman" w:hAnsi="Calibri" w:cs="Segoe UI"/>
          <w:lang w:eastAsia="et-EE"/>
        </w:rPr>
        <w:t xml:space="preserve">luliste üleriigiliste erisuste vältimiseks õpetajate töö </w:t>
      </w:r>
      <w:r w:rsidR="0068706C">
        <w:rPr>
          <w:rFonts w:ascii="Calibri" w:eastAsia="Times New Roman" w:hAnsi="Calibri" w:cs="Segoe UI"/>
          <w:lang w:eastAsia="et-EE"/>
        </w:rPr>
        <w:t xml:space="preserve">tulemuslikkuse hindamisel ja </w:t>
      </w:r>
      <w:r w:rsidR="00AF75E4" w:rsidRPr="001E4E63">
        <w:rPr>
          <w:rFonts w:ascii="Calibri" w:eastAsia="Times New Roman" w:hAnsi="Calibri" w:cs="Segoe UI"/>
          <w:lang w:eastAsia="et-EE"/>
        </w:rPr>
        <w:t>tasustamisel töötavad koolijuhtide (kutseõppeasutuste ja üldharidusekoolide juhid) ühendused välja õpetajate tööpanuse ja tulemuslikkuse hindamise mudeli ning rakendavad seda lähtuvalt oma kooli eripärast</w:t>
      </w:r>
      <w:r w:rsidR="00290E02">
        <w:rPr>
          <w:rFonts w:ascii="Calibri" w:eastAsia="Times New Roman" w:hAnsi="Calibri" w:cs="Segoe UI"/>
          <w:lang w:eastAsia="et-EE"/>
        </w:rPr>
        <w:t>;</w:t>
      </w:r>
      <w:r w:rsidR="0011050B" w:rsidRPr="00C72C47">
        <w:t xml:space="preserve"> </w:t>
      </w:r>
      <w:r w:rsidR="0011050B">
        <w:rPr>
          <w:rFonts w:ascii="Calibri" w:eastAsia="Times New Roman" w:hAnsi="Calibri" w:cs="Segoe UI"/>
          <w:lang w:eastAsia="et-EE"/>
        </w:rPr>
        <w:t xml:space="preserve"> </w:t>
      </w:r>
    </w:p>
    <w:p w14:paraId="56EE562B" w14:textId="77777777" w:rsidR="00AF75E4" w:rsidRPr="00CF2E2C" w:rsidRDefault="00382716" w:rsidP="003C63BC">
      <w:pPr>
        <w:pStyle w:val="ListParagraph"/>
        <w:numPr>
          <w:ilvl w:val="0"/>
          <w:numId w:val="23"/>
        </w:numPr>
        <w:spacing w:after="150"/>
        <w:ind w:right="150"/>
        <w:jc w:val="both"/>
        <w:rPr>
          <w:rFonts w:ascii="Segoe UI" w:eastAsia="Times New Roman" w:hAnsi="Segoe UI" w:cs="Segoe UI"/>
          <w:sz w:val="27"/>
          <w:szCs w:val="27"/>
          <w:lang w:eastAsia="et-EE"/>
        </w:rPr>
      </w:pPr>
      <w:r>
        <w:rPr>
          <w:rFonts w:ascii="Calibri" w:eastAsia="Times New Roman" w:hAnsi="Calibri" w:cs="Segoe UI"/>
          <w:lang w:eastAsia="et-EE"/>
        </w:rPr>
        <w:t>k</w:t>
      </w:r>
      <w:r w:rsidR="0068706C" w:rsidRPr="00CF2E2C">
        <w:rPr>
          <w:rFonts w:ascii="Calibri" w:eastAsia="Times New Roman" w:hAnsi="Calibri" w:cs="Segoe UI"/>
          <w:lang w:eastAsia="et-EE"/>
        </w:rPr>
        <w:t>õrgkoolid töötavad koostöös välja õppejõu õppetöö tulemuslikkuse hindamise põhimõtted</w:t>
      </w:r>
      <w:r w:rsidR="00E741CA" w:rsidRPr="00CF2E2C">
        <w:rPr>
          <w:rFonts w:ascii="Calibri" w:eastAsia="Times New Roman" w:hAnsi="Calibri" w:cs="Segoe UI"/>
          <w:lang w:eastAsia="et-EE"/>
        </w:rPr>
        <w:t>. Õ</w:t>
      </w:r>
      <w:r w:rsidR="00AF75E4" w:rsidRPr="00CF2E2C">
        <w:rPr>
          <w:rFonts w:ascii="Calibri" w:eastAsia="Times New Roman" w:hAnsi="Calibri" w:cs="Segoe UI"/>
          <w:lang w:eastAsia="et-EE"/>
        </w:rPr>
        <w:t>ppejõu töö hindamisel</w:t>
      </w:r>
      <w:r w:rsidR="00E741CA" w:rsidRPr="00CF2E2C">
        <w:rPr>
          <w:rFonts w:ascii="Calibri" w:eastAsia="Times New Roman" w:hAnsi="Calibri" w:cs="Segoe UI"/>
          <w:lang w:eastAsia="et-EE"/>
        </w:rPr>
        <w:t xml:space="preserve"> (sh ametkohtadele valimisel) ülikoolides </w:t>
      </w:r>
      <w:r w:rsidR="00AF75E4" w:rsidRPr="00CF2E2C">
        <w:rPr>
          <w:rFonts w:ascii="Calibri" w:eastAsia="Times New Roman" w:hAnsi="Calibri" w:cs="Segoe UI"/>
          <w:lang w:eastAsia="et-EE"/>
        </w:rPr>
        <w:t>arvestatakse rahvusvaheliste teaduspublikatsioonide kõrval samaväärsena õppetöö tulemuslikkust ja selle rahvusvahelist mõõdet (stažeerimine ja õpetamine väliskõrgkoolides, osalemine rahvusvahelistes arendusprojektides, võõrkeelsete õppekavade arenduses, tulemuslikkus ja üliõpilaste rahulolu õppejõu läbiviidava õppetööga, õppejõu teadlik enesearendus jms).</w:t>
      </w:r>
    </w:p>
    <w:p w14:paraId="56EE562C" w14:textId="77777777" w:rsidR="00AF75E4" w:rsidRPr="00632CE3" w:rsidRDefault="00321C77" w:rsidP="003C63BC">
      <w:pPr>
        <w:spacing w:after="240"/>
        <w:jc w:val="both"/>
      </w:pPr>
      <w:r>
        <w:rPr>
          <w:b/>
        </w:rPr>
        <w:t>2.</w:t>
      </w:r>
      <w:r w:rsidR="00AF75E4" w:rsidRPr="001E4E63">
        <w:rPr>
          <w:b/>
        </w:rPr>
        <w:t xml:space="preserve">3. </w:t>
      </w:r>
      <w:r w:rsidR="007035C9">
        <w:rPr>
          <w:b/>
        </w:rPr>
        <w:t>Koolijuhi</w:t>
      </w:r>
      <w:r w:rsidR="00AF75E4" w:rsidRPr="001E4E63">
        <w:rPr>
          <w:b/>
        </w:rPr>
        <w:t xml:space="preserve"> pädevusnõuete kehtestamine ja nende regulaarne hindamine. </w:t>
      </w:r>
      <w:r w:rsidR="00AF75E4" w:rsidRPr="001E4E63">
        <w:t xml:space="preserve">Koolijuhi roll </w:t>
      </w:r>
      <w:r w:rsidR="00AF75E4">
        <w:t xml:space="preserve">on </w:t>
      </w:r>
      <w:r w:rsidR="00AF75E4" w:rsidRPr="00632CE3">
        <w:t>koolikultuuri kujundamisel määrava tähtsusega, sest õpikeskkond sõltub ennekõike koolijuhist – kas ta väärtustab, motiveerib ja toetab õppijat ning võimaldab tema potentsiaali</w:t>
      </w:r>
      <w:r w:rsidR="00AF75E4">
        <w:t>l</w:t>
      </w:r>
      <w:r w:rsidR="00AF75E4" w:rsidRPr="00632CE3">
        <w:t xml:space="preserve"> välja aren</w:t>
      </w:r>
      <w:r w:rsidR="00AF75E4">
        <w:t>e</w:t>
      </w:r>
      <w:r w:rsidR="00AF75E4" w:rsidRPr="00632CE3">
        <w:t>da, kas õpetajate ning teiste koolitöötajate arengut toetatakse, kas kool teeb tulemuslikku koostööd kogukonna ja perega. Selleks et Eesti koole juhiksid pädevad ja motiveeritud koolijuhid, kes tahavad ja suudavad ellu viia strateegias kirjeldatud ee</w:t>
      </w:r>
      <w:r w:rsidR="00A27977">
        <w:t>s</w:t>
      </w:r>
      <w:r w:rsidR="00AF75E4" w:rsidRPr="00632CE3">
        <w:t>märke, on vajalikud järgmised tegevused:</w:t>
      </w:r>
    </w:p>
    <w:p w14:paraId="56EE562D" w14:textId="77777777" w:rsidR="00AF75E4" w:rsidRPr="00632CE3" w:rsidRDefault="00382716" w:rsidP="00E27473">
      <w:pPr>
        <w:pStyle w:val="ListParagraph"/>
        <w:numPr>
          <w:ilvl w:val="0"/>
          <w:numId w:val="21"/>
        </w:numPr>
        <w:spacing w:after="240"/>
        <w:jc w:val="both"/>
      </w:pPr>
      <w:r>
        <w:t>k</w:t>
      </w:r>
      <w:r w:rsidR="007035C9">
        <w:t>oolieelse</w:t>
      </w:r>
      <w:r w:rsidR="003F3CDB">
        <w:t>te</w:t>
      </w:r>
      <w:r w:rsidR="007035C9">
        <w:t xml:space="preserve"> lasteasutus</w:t>
      </w:r>
      <w:r w:rsidR="003F3CDB">
        <w:t>t</w:t>
      </w:r>
      <w:r w:rsidR="007035C9">
        <w:t xml:space="preserve">e, </w:t>
      </w:r>
      <w:r w:rsidR="00AF75E4" w:rsidRPr="00386808">
        <w:t>üld</w:t>
      </w:r>
      <w:r w:rsidR="00843C08">
        <w:t>hariduskoolide,</w:t>
      </w:r>
      <w:r w:rsidR="00AF75E4" w:rsidRPr="00386808">
        <w:t xml:space="preserve"> kutseõppeasutuste </w:t>
      </w:r>
      <w:r w:rsidR="00843C08">
        <w:t>ja</w:t>
      </w:r>
      <w:r w:rsidR="007035C9">
        <w:t xml:space="preserve"> rakenduskõrgkoolide juhtide</w:t>
      </w:r>
      <w:r w:rsidR="00AF75E4" w:rsidRPr="00386808">
        <w:t xml:space="preserve"> ühendused ning koolipidajad töötavad välja ja </w:t>
      </w:r>
      <w:r w:rsidR="00AF75E4">
        <w:t>Haridus- ja Teadusministeerium</w:t>
      </w:r>
      <w:r w:rsidR="00AF75E4" w:rsidRPr="00386808">
        <w:t xml:space="preserve"> kehtestab</w:t>
      </w:r>
      <w:r w:rsidR="00AF75E4" w:rsidRPr="001E4E63">
        <w:t xml:space="preserve"> koolijuhi pädevusnõuded, </w:t>
      </w:r>
      <w:r w:rsidR="00AF75E4">
        <w:t>millest lähtutakse</w:t>
      </w:r>
      <w:r w:rsidR="00AF75E4" w:rsidRPr="00632CE3">
        <w:t xml:space="preserve"> koolijuhtide värbamisel</w:t>
      </w:r>
      <w:r w:rsidR="00AF75E4">
        <w:t xml:space="preserve">, </w:t>
      </w:r>
      <w:r w:rsidR="00AF75E4" w:rsidRPr="00632CE3">
        <w:t>töö tagasisidestamisel ning täiend</w:t>
      </w:r>
      <w:r w:rsidR="00AF75E4">
        <w:t>us</w:t>
      </w:r>
      <w:r w:rsidR="00AF75E4" w:rsidRPr="00632CE3">
        <w:t>õppe pakkumisel</w:t>
      </w:r>
      <w:r w:rsidR="00AF75E4">
        <w:t xml:space="preserve"> ja </w:t>
      </w:r>
      <w:r w:rsidR="00AF75E4" w:rsidRPr="00632CE3">
        <w:t xml:space="preserve">mis muuhulgas </w:t>
      </w:r>
      <w:r w:rsidR="00AF75E4">
        <w:t xml:space="preserve">peavad silmas ka </w:t>
      </w:r>
      <w:r w:rsidR="00AF75E4" w:rsidRPr="00632CE3">
        <w:t>uue õpikäsituse rakendamise eesmär</w:t>
      </w:r>
      <w:r w:rsidR="00AF75E4">
        <w:t>ki</w:t>
      </w:r>
      <w:r w:rsidR="00290E02">
        <w:t>;</w:t>
      </w:r>
    </w:p>
    <w:p w14:paraId="56EE562E" w14:textId="77777777" w:rsidR="00AF75E4" w:rsidRPr="00386808" w:rsidRDefault="00AF75E4" w:rsidP="004B46A2">
      <w:pPr>
        <w:pStyle w:val="ListParagraph"/>
        <w:numPr>
          <w:ilvl w:val="0"/>
          <w:numId w:val="21"/>
        </w:numPr>
        <w:jc w:val="both"/>
      </w:pPr>
      <w:r w:rsidRPr="00386808">
        <w:t>Haridus- ja Teadusministeerium käivitab koolijuhtide järelkasvu programmi, kuhu valitakse konkursi alusel parimad kandidaadid</w:t>
      </w:r>
      <w:r w:rsidR="00290E02">
        <w:t>;</w:t>
      </w:r>
      <w:r w:rsidR="0011050B" w:rsidRPr="00386808">
        <w:t xml:space="preserve"> </w:t>
      </w:r>
    </w:p>
    <w:p w14:paraId="56EE562F" w14:textId="77777777" w:rsidR="00AF75E4" w:rsidRPr="00632CE3" w:rsidRDefault="00AF75E4" w:rsidP="004B46A2">
      <w:pPr>
        <w:pStyle w:val="ListParagraph"/>
        <w:numPr>
          <w:ilvl w:val="0"/>
          <w:numId w:val="21"/>
        </w:numPr>
        <w:jc w:val="both"/>
      </w:pPr>
      <w:r>
        <w:t>Haridus- ja Teadusministeerium</w:t>
      </w:r>
      <w:r w:rsidRPr="001E4E63">
        <w:t xml:space="preserve"> koostöös koolipidajatega </w:t>
      </w:r>
      <w:r w:rsidR="006E1630">
        <w:t xml:space="preserve">töötab välja </w:t>
      </w:r>
      <w:r w:rsidRPr="001E4E63">
        <w:t xml:space="preserve">koolijuhtide </w:t>
      </w:r>
      <w:r>
        <w:t xml:space="preserve"> </w:t>
      </w:r>
      <w:r w:rsidRPr="001E4E63">
        <w:t xml:space="preserve"> välishindamis</w:t>
      </w:r>
      <w:r>
        <w:t xml:space="preserve">süsteemi, mille raames antakse </w:t>
      </w:r>
      <w:r w:rsidRPr="00632CE3">
        <w:t>koolijuh</w:t>
      </w:r>
      <w:r>
        <w:t>ile</w:t>
      </w:r>
      <w:r w:rsidRPr="00632CE3">
        <w:t xml:space="preserve"> </w:t>
      </w:r>
      <w:r>
        <w:t xml:space="preserve">regulaarset </w:t>
      </w:r>
      <w:r w:rsidRPr="00632CE3">
        <w:t xml:space="preserve">professionaalset tagasisidet </w:t>
      </w:r>
      <w:r>
        <w:t>tema</w:t>
      </w:r>
      <w:r w:rsidRPr="00632CE3">
        <w:t xml:space="preserve"> töö</w:t>
      </w:r>
      <w:r>
        <w:t xml:space="preserve"> kohta</w:t>
      </w:r>
      <w:r w:rsidRPr="00632CE3">
        <w:t xml:space="preserve"> lähtuvalt kooli tulemuslikkusest</w:t>
      </w:r>
      <w:r>
        <w:t xml:space="preserve">, samuti </w:t>
      </w:r>
      <w:r w:rsidRPr="00632CE3">
        <w:t>soovitusi täiend</w:t>
      </w:r>
      <w:r>
        <w:t>us</w:t>
      </w:r>
      <w:r w:rsidRPr="00632CE3">
        <w:t>õppeks</w:t>
      </w:r>
      <w:r w:rsidR="0011050B">
        <w:t>;</w:t>
      </w:r>
      <w:r w:rsidR="0011050B" w:rsidRPr="00632CE3">
        <w:t xml:space="preserve"> </w:t>
      </w:r>
      <w:r w:rsidR="0011050B">
        <w:t>õ</w:t>
      </w:r>
      <w:r w:rsidRPr="0014324E">
        <w:t>ppeasutuse juhi töö tulemuslikkuse hindamisel võetakse aluseks õppeasutuse kvaliteedinäitajad.</w:t>
      </w:r>
    </w:p>
    <w:p w14:paraId="56EE5630" w14:textId="77777777" w:rsidR="00AF75E4" w:rsidRPr="00E76D69" w:rsidRDefault="00321C77" w:rsidP="00423859">
      <w:pPr>
        <w:spacing w:before="240"/>
        <w:jc w:val="both"/>
        <w:rPr>
          <w:color w:val="000000" w:themeColor="text1"/>
        </w:rPr>
      </w:pPr>
      <w:r>
        <w:rPr>
          <w:b/>
        </w:rPr>
        <w:t>2.</w:t>
      </w:r>
      <w:r w:rsidR="00BD01A6">
        <w:rPr>
          <w:b/>
        </w:rPr>
        <w:t xml:space="preserve">4. </w:t>
      </w:r>
      <w:r w:rsidR="00AF75E4">
        <w:rPr>
          <w:b/>
        </w:rPr>
        <w:t>Õ</w:t>
      </w:r>
      <w:r w:rsidR="00AF75E4" w:rsidRPr="00E76D69">
        <w:rPr>
          <w:b/>
        </w:rPr>
        <w:t>petajaameti populariseerimise programmid</w:t>
      </w:r>
      <w:r w:rsidR="00AF75E4">
        <w:rPr>
          <w:b/>
        </w:rPr>
        <w:t>e käivitamine</w:t>
      </w:r>
      <w:r w:rsidR="00AF75E4" w:rsidRPr="00386808">
        <w:t xml:space="preserve">, et õpetajaamet muutuks arvestatavaks valikuks nii noortele kui </w:t>
      </w:r>
      <w:r w:rsidR="00AF75E4">
        <w:t xml:space="preserve">ka </w:t>
      </w:r>
      <w:r w:rsidR="00AF75E4" w:rsidRPr="00386808">
        <w:t>neile, kes kaaluvad elukutsevahetust.</w:t>
      </w:r>
      <w:r w:rsidR="00AF75E4" w:rsidRPr="00E76D69">
        <w:rPr>
          <w:color w:val="000000" w:themeColor="text1"/>
        </w:rPr>
        <w:t xml:space="preserve">  </w:t>
      </w:r>
    </w:p>
    <w:p w14:paraId="56EE5631" w14:textId="77777777" w:rsidR="00AF75E4" w:rsidRPr="001E4E63" w:rsidRDefault="00AF75E4" w:rsidP="00AF75E4">
      <w:pPr>
        <w:pStyle w:val="ListParagraph"/>
        <w:jc w:val="both"/>
        <w:rPr>
          <w:color w:val="000000" w:themeColor="text1"/>
        </w:rPr>
      </w:pPr>
    </w:p>
    <w:p w14:paraId="56EE5632" w14:textId="77777777" w:rsidR="00AF75E4" w:rsidRDefault="00AF75E4" w:rsidP="001947EC">
      <w:pPr>
        <w:pStyle w:val="Heading2"/>
        <w:numPr>
          <w:ilvl w:val="0"/>
          <w:numId w:val="37"/>
        </w:numPr>
      </w:pPr>
      <w:bookmarkStart w:id="8" w:name="_Toc376952249"/>
      <w:r w:rsidRPr="0053311E">
        <w:t>Elukestva õppe võimaluste ja töömaailma vajaduste vastavus</w:t>
      </w:r>
      <w:bookmarkEnd w:id="8"/>
    </w:p>
    <w:p w14:paraId="56EE5633" w14:textId="77777777" w:rsidR="00756F1E" w:rsidRPr="00756F1E" w:rsidRDefault="00756F1E" w:rsidP="00756F1E"/>
    <w:p w14:paraId="56EE5634" w14:textId="77777777" w:rsidR="00AF75E4" w:rsidRPr="001E4E63" w:rsidRDefault="00AF75E4" w:rsidP="00AF75E4">
      <w:pPr>
        <w:spacing w:after="0"/>
        <w:jc w:val="both"/>
      </w:pPr>
      <w:r w:rsidRPr="001E4E63">
        <w:rPr>
          <w:rFonts w:ascii="Calibri" w:hAnsi="Calibri" w:cs="Segoe UI"/>
        </w:rPr>
        <w:t xml:space="preserve">Teadmistepõhine ja kõrgema lisandväärtusega majandus tekitab keskkonna, mis motiveerib inimest võtma vastutust ja initsiatiivi oma potentsiaali parimaks rakendamiseks. </w:t>
      </w:r>
      <w:r w:rsidRPr="001E4E63">
        <w:t xml:space="preserve">Elukestva õppe süsteemi sujuvaks ja isereguleerivaks toimimiseks on vajalik, et õppekavad oleksid asjakohased ja info tööturu ning majanduse arengute kohta kõigile lihtsalt kättesaadav.  Inimeste õpivalikuid suunatakse eelkõige asjaliku info ja nõustamise kaudu. </w:t>
      </w:r>
    </w:p>
    <w:p w14:paraId="56EE5635" w14:textId="77777777" w:rsidR="00AF75E4" w:rsidRPr="001E4E63" w:rsidRDefault="00AF75E4" w:rsidP="00AF75E4">
      <w:pPr>
        <w:spacing w:after="0"/>
        <w:jc w:val="both"/>
        <w:rPr>
          <w:b/>
        </w:rPr>
      </w:pPr>
    </w:p>
    <w:p w14:paraId="56EE5636" w14:textId="77777777" w:rsidR="00AF75E4" w:rsidRPr="00BB41DE" w:rsidRDefault="00AF75E4" w:rsidP="00AF75E4">
      <w:pPr>
        <w:pStyle w:val="BodyText"/>
        <w:jc w:val="both"/>
        <w:rPr>
          <w:rFonts w:asciiTheme="minorHAnsi" w:hAnsiTheme="minorHAnsi"/>
          <w:b/>
          <w:color w:val="000000" w:themeColor="text1"/>
          <w:sz w:val="22"/>
          <w:szCs w:val="22"/>
        </w:rPr>
      </w:pPr>
      <w:r w:rsidRPr="00E76D69">
        <w:rPr>
          <w:rFonts w:asciiTheme="minorHAnsi" w:hAnsiTheme="minorHAnsi"/>
          <w:b/>
          <w:sz w:val="22"/>
          <w:szCs w:val="22"/>
        </w:rPr>
        <w:t xml:space="preserve">Eesmärk on </w:t>
      </w:r>
      <w:r w:rsidRPr="00BB41DE">
        <w:rPr>
          <w:rFonts w:asciiTheme="minorHAnsi" w:hAnsiTheme="minorHAnsi"/>
          <w:b/>
          <w:sz w:val="22"/>
          <w:szCs w:val="22"/>
        </w:rPr>
        <w:t>luua kvaliteetsed, paindlikud ja mitmekesiste valikutega ning tööturu arenguvajadusi arvestavad õppimisvõimalused ja karjääri</w:t>
      </w:r>
      <w:r w:rsidR="009A503E">
        <w:rPr>
          <w:rFonts w:asciiTheme="minorHAnsi" w:hAnsiTheme="minorHAnsi"/>
          <w:b/>
          <w:sz w:val="22"/>
          <w:szCs w:val="22"/>
        </w:rPr>
        <w:t>teenused</w:t>
      </w:r>
      <w:r w:rsidR="00D94C40">
        <w:rPr>
          <w:rFonts w:asciiTheme="minorHAnsi" w:hAnsiTheme="minorHAnsi"/>
          <w:b/>
          <w:sz w:val="22"/>
          <w:szCs w:val="22"/>
        </w:rPr>
        <w:t xml:space="preserve">, et </w:t>
      </w:r>
      <w:r w:rsidRPr="00BB41DE">
        <w:rPr>
          <w:rFonts w:asciiTheme="minorHAnsi" w:hAnsiTheme="minorHAnsi"/>
          <w:b/>
          <w:sz w:val="22"/>
          <w:szCs w:val="22"/>
        </w:rPr>
        <w:t>suurendada erialase kvalifikatsiooniga inimeste arvu erinevates vanuserühmades</w:t>
      </w:r>
      <w:r w:rsidR="00D94C40">
        <w:rPr>
          <w:rFonts w:asciiTheme="minorHAnsi" w:hAnsiTheme="minorHAnsi"/>
          <w:b/>
          <w:sz w:val="22"/>
          <w:szCs w:val="22"/>
        </w:rPr>
        <w:t xml:space="preserve"> ja regioonides.</w:t>
      </w:r>
      <w:r w:rsidRPr="00BB41DE">
        <w:rPr>
          <w:rFonts w:asciiTheme="minorHAnsi" w:hAnsiTheme="minorHAnsi"/>
          <w:b/>
          <w:sz w:val="22"/>
          <w:szCs w:val="22"/>
        </w:rPr>
        <w:t xml:space="preserve"> </w:t>
      </w:r>
    </w:p>
    <w:p w14:paraId="56EE5637" w14:textId="77777777" w:rsidR="00937147" w:rsidRDefault="00937147" w:rsidP="00937147">
      <w:pPr>
        <w:spacing w:after="0" w:line="360" w:lineRule="auto"/>
        <w:rPr>
          <w:b/>
          <w:color w:val="1F497D" w:themeColor="text2"/>
          <w:sz w:val="24"/>
          <w:szCs w:val="24"/>
        </w:rPr>
      </w:pPr>
    </w:p>
    <w:p w14:paraId="56EE5638" w14:textId="77777777" w:rsidR="00AF75E4" w:rsidRPr="00937147" w:rsidRDefault="00AF75E4" w:rsidP="00BD01A6">
      <w:pPr>
        <w:spacing w:line="360" w:lineRule="auto"/>
        <w:rPr>
          <w:b/>
          <w:color w:val="1F497D" w:themeColor="text2"/>
          <w:sz w:val="24"/>
          <w:szCs w:val="24"/>
        </w:rPr>
      </w:pPr>
      <w:r w:rsidRPr="00937147">
        <w:rPr>
          <w:b/>
          <w:color w:val="1F497D" w:themeColor="text2"/>
          <w:sz w:val="24"/>
          <w:szCs w:val="24"/>
        </w:rPr>
        <w:t>Strateegilised meetmed</w:t>
      </w:r>
    </w:p>
    <w:p w14:paraId="56EE5639" w14:textId="77777777" w:rsidR="00AF75E4" w:rsidRPr="000679AA" w:rsidRDefault="00321C77" w:rsidP="003C63BC">
      <w:pPr>
        <w:spacing w:after="240"/>
        <w:jc w:val="both"/>
      </w:pPr>
      <w:r w:rsidRPr="00BD01A6">
        <w:rPr>
          <w:b/>
        </w:rPr>
        <w:t>3.1.</w:t>
      </w:r>
      <w:r>
        <w:t xml:space="preserve"> </w:t>
      </w:r>
      <w:r w:rsidR="00AF75E4" w:rsidRPr="00EA5114">
        <w:t>H</w:t>
      </w:r>
      <w:r w:rsidR="00AF75E4">
        <w:t>aridus- ja Teadusministeerium</w:t>
      </w:r>
      <w:r w:rsidR="00AF75E4" w:rsidRPr="00EA5114">
        <w:t>, M</w:t>
      </w:r>
      <w:r w:rsidR="00AF75E4">
        <w:t>ajandus- ja Kommunikatsiooniministeerium ja Sotsiaalministeerium</w:t>
      </w:r>
      <w:r w:rsidR="00AF75E4" w:rsidRPr="00EA5114">
        <w:t xml:space="preserve"> </w:t>
      </w:r>
      <w:r w:rsidR="00AF75E4">
        <w:t xml:space="preserve"> </w:t>
      </w:r>
      <w:r w:rsidR="00AF75E4" w:rsidRPr="00EA5114">
        <w:t xml:space="preserve">koostöös tööandjatega </w:t>
      </w:r>
      <w:r w:rsidR="007035C9">
        <w:t xml:space="preserve">ning teiste ministeeriumite esindajatega </w:t>
      </w:r>
      <w:r w:rsidR="00AF75E4" w:rsidRPr="00EA5114">
        <w:t>käivita</w:t>
      </w:r>
      <w:r w:rsidR="00AF75E4" w:rsidRPr="001E4E63">
        <w:t xml:space="preserve">vad </w:t>
      </w:r>
      <w:r w:rsidR="00AF75E4" w:rsidRPr="00321C77">
        <w:rPr>
          <w:b/>
        </w:rPr>
        <w:t>regulaarse ja süsteemse tööjõuvajaduse seire-, prognoosi- ja tagasisidestamise süsteemi</w:t>
      </w:r>
      <w:r w:rsidR="00AF75E4" w:rsidRPr="00EA5114">
        <w:t xml:space="preserve">, mille raames analüüsitakse Eesti erinevate majandussektorite arenguvõimalusi ja </w:t>
      </w:r>
      <w:r w:rsidR="007A6404" w:rsidRPr="00EA5114">
        <w:t xml:space="preserve">tööjõu </w:t>
      </w:r>
      <w:r w:rsidR="007A6404">
        <w:t>vajadust</w:t>
      </w:r>
      <w:r w:rsidR="00AF75E4" w:rsidRPr="000679AA">
        <w:t xml:space="preserve"> tervikvaates, kasutades selleks kvantitatiivsete meetodite kõrval ka kvalitatiivseid. Elukestvat õpet planeeritakse kutsetegevuse valdkondade põhiselt. Analüüsi</w:t>
      </w:r>
      <w:r w:rsidR="00AF75E4">
        <w:t xml:space="preserve"> </w:t>
      </w:r>
      <w:r w:rsidR="00AF75E4" w:rsidRPr="000679AA">
        <w:t>ja prognoosi</w:t>
      </w:r>
      <w:r w:rsidR="00AF75E4">
        <w:t xml:space="preserve"> </w:t>
      </w:r>
      <w:r w:rsidR="00AF75E4" w:rsidRPr="000679AA">
        <w:t>tulemused on sisendiks kvalifikatsiooni- ja karjäärinõustamissüsteemile, õpp</w:t>
      </w:r>
      <w:r w:rsidR="00AF75E4" w:rsidRPr="00EA5114">
        <w:t>easutuste õppekavaarendus</w:t>
      </w:r>
      <w:r w:rsidR="00AF75E4">
        <w:t>ele,</w:t>
      </w:r>
      <w:r w:rsidR="00AF75E4" w:rsidRPr="00EA5114">
        <w:t xml:space="preserve"> ning erinevatele ametkondadele, kes rahastavad õppetegevusi. Sellise lähenemise eelduseks on tööandjate aktiivne ja sisuline osalus elukestva õppe süsteemi </w:t>
      </w:r>
      <w:r w:rsidR="00AF75E4" w:rsidRPr="001E4E63">
        <w:t>kujundamise</w:t>
      </w:r>
      <w:r w:rsidR="00AF75E4">
        <w:t>s</w:t>
      </w:r>
      <w:r w:rsidR="00AF75E4" w:rsidRPr="000679AA">
        <w:t xml:space="preserve">.  </w:t>
      </w:r>
    </w:p>
    <w:p w14:paraId="56EE563A" w14:textId="77777777" w:rsidR="00AF75E4" w:rsidRPr="00AE6DF6" w:rsidRDefault="00662092" w:rsidP="003C63BC">
      <w:pPr>
        <w:spacing w:after="240"/>
        <w:jc w:val="both"/>
      </w:pPr>
      <w:r>
        <w:t>Süsteemi käivitamise</w:t>
      </w:r>
      <w:r w:rsidRPr="00AE6DF6">
        <w:t xml:space="preserve">ks </w:t>
      </w:r>
      <w:r w:rsidR="00AF75E4" w:rsidRPr="00AE6DF6">
        <w:t xml:space="preserve">kutsutakse kokku kogud: </w:t>
      </w:r>
    </w:p>
    <w:p w14:paraId="56EE563B" w14:textId="77777777" w:rsidR="00AF75E4" w:rsidRPr="001E4E63" w:rsidRDefault="0011050B" w:rsidP="00764728">
      <w:pPr>
        <w:pStyle w:val="ListParagraph"/>
        <w:numPr>
          <w:ilvl w:val="0"/>
          <w:numId w:val="27"/>
        </w:numPr>
        <w:spacing w:before="240"/>
        <w:jc w:val="both"/>
      </w:pPr>
      <w:r>
        <w:rPr>
          <w:b/>
        </w:rPr>
        <w:t>k</w:t>
      </w:r>
      <w:r w:rsidR="00AF75E4" w:rsidRPr="00EA5114">
        <w:rPr>
          <w:b/>
        </w:rPr>
        <w:t>utsetegevuse valdkonna nõukogu</w:t>
      </w:r>
      <w:r w:rsidR="00662092">
        <w:rPr>
          <w:b/>
        </w:rPr>
        <w:t>d</w:t>
      </w:r>
      <w:r w:rsidR="00AF75E4" w:rsidRPr="00EA5114">
        <w:rPr>
          <w:b/>
        </w:rPr>
        <w:t xml:space="preserve"> </w:t>
      </w:r>
      <w:r w:rsidR="00AF75E4" w:rsidRPr="001E4E63">
        <w:t xml:space="preserve"> Eestile olulisemates kutsetegevusvaldkondades </w:t>
      </w:r>
      <w:r w:rsidR="00AF75E4">
        <w:t>−</w:t>
      </w:r>
      <w:r w:rsidR="00AF75E4" w:rsidRPr="00AE6DF6">
        <w:t xml:space="preserve"> kutse</w:t>
      </w:r>
      <w:r w:rsidR="001B2AF3">
        <w:t>tegevuse</w:t>
      </w:r>
      <w:r w:rsidR="00AF75E4" w:rsidRPr="00AE6DF6">
        <w:t xml:space="preserve"> valdkonna spetsialiste koondav</w:t>
      </w:r>
      <w:r w:rsidR="00662092">
        <w:t>ad</w:t>
      </w:r>
      <w:r w:rsidR="00AF75E4" w:rsidRPr="00AE6DF6">
        <w:t xml:space="preserve"> ekspertkogu</w:t>
      </w:r>
      <w:r w:rsidR="00662092">
        <w:t>d</w:t>
      </w:r>
      <w:r w:rsidR="00AF75E4" w:rsidRPr="00AE6DF6">
        <w:t xml:space="preserve">, </w:t>
      </w:r>
      <w:r w:rsidR="00662092">
        <w:t>mi</w:t>
      </w:r>
      <w:r w:rsidR="00662092" w:rsidRPr="00AE6DF6">
        <w:t>s seira</w:t>
      </w:r>
      <w:r w:rsidR="00662092">
        <w:t>vad</w:t>
      </w:r>
      <w:r w:rsidR="00AF75E4" w:rsidRPr="00AE6DF6">
        <w:t xml:space="preserve">, </w:t>
      </w:r>
      <w:r w:rsidR="00662092" w:rsidRPr="00AE6DF6">
        <w:t>analüüsi</w:t>
      </w:r>
      <w:r w:rsidR="00662092">
        <w:t>vad</w:t>
      </w:r>
      <w:r w:rsidR="00AF75E4" w:rsidRPr="00AE6DF6">
        <w:t xml:space="preserve">, </w:t>
      </w:r>
      <w:r w:rsidR="00662092" w:rsidRPr="00AE6DF6">
        <w:t>prognoosi</w:t>
      </w:r>
      <w:r w:rsidR="00662092">
        <w:t>vad</w:t>
      </w:r>
      <w:r w:rsidR="00662092" w:rsidRPr="00AE6DF6">
        <w:t xml:space="preserve"> </w:t>
      </w:r>
      <w:r w:rsidR="00AF75E4" w:rsidRPr="00AE6DF6">
        <w:t>oma valdkonna tööturuarenguid ning taseme- ja täiend</w:t>
      </w:r>
      <w:r w:rsidR="00AF75E4">
        <w:t>us</w:t>
      </w:r>
      <w:r w:rsidR="00AF75E4" w:rsidRPr="00AE6DF6">
        <w:t xml:space="preserve">õppe </w:t>
      </w:r>
      <w:r w:rsidR="00AF75E4" w:rsidRPr="00C82E8A">
        <w:t>olukorda, on partneriks Haridus- ja Teadusministeeriumile kutse</w:t>
      </w:r>
      <w:r w:rsidR="001B2AF3">
        <w:t xml:space="preserve">tegevuse </w:t>
      </w:r>
      <w:r w:rsidR="00AF75E4" w:rsidRPr="00C82E8A">
        <w:t xml:space="preserve">valdkonna kvalifikatsioonide sisu ajakohasuse üle otsustamisel ning </w:t>
      </w:r>
      <w:r w:rsidR="00AF75E4" w:rsidRPr="001E4E63">
        <w:t>ühiskonna teavitamisel oma valdkonna arengusuundadest;</w:t>
      </w:r>
    </w:p>
    <w:p w14:paraId="56EE563C" w14:textId="77777777" w:rsidR="00290E02" w:rsidRDefault="0011050B" w:rsidP="00CF5AF9">
      <w:pPr>
        <w:pStyle w:val="ListParagraph"/>
        <w:numPr>
          <w:ilvl w:val="0"/>
          <w:numId w:val="27"/>
        </w:numPr>
        <w:spacing w:before="240"/>
        <w:jc w:val="both"/>
        <w:rPr>
          <w:b/>
        </w:rPr>
      </w:pPr>
      <w:r>
        <w:rPr>
          <w:b/>
        </w:rPr>
        <w:t>v</w:t>
      </w:r>
      <w:r w:rsidR="00AF75E4" w:rsidRPr="001E4E63">
        <w:rPr>
          <w:b/>
        </w:rPr>
        <w:t xml:space="preserve">aldkondadeülene </w:t>
      </w:r>
      <w:r w:rsidR="00AF75E4">
        <w:rPr>
          <w:b/>
        </w:rPr>
        <w:t>k</w:t>
      </w:r>
      <w:r w:rsidR="00AF75E4" w:rsidRPr="00C82E8A">
        <w:rPr>
          <w:b/>
        </w:rPr>
        <w:t>oordinatsioonikogu</w:t>
      </w:r>
      <w:r w:rsidR="00AF75E4" w:rsidRPr="00C82E8A">
        <w:t xml:space="preserve"> on erinevate elualade e</w:t>
      </w:r>
      <w:r w:rsidR="00AF75E4" w:rsidRPr="00233256">
        <w:t xml:space="preserve">sindajaid koondav ekspertkogu, kes kavandab ja tellib riigi strateegilistest vajadustest lähtudes majandussektorite seireanalüüse ning prognoose võrreldava metoodika alusel, teavitab ühiskonda trendidest ning annab </w:t>
      </w:r>
      <w:r w:rsidR="00AF75E4">
        <w:t>Haridus- ja Teadusministeeriumile,</w:t>
      </w:r>
      <w:r w:rsidR="00AF75E4" w:rsidRPr="00233256">
        <w:t xml:space="preserve"> </w:t>
      </w:r>
      <w:r w:rsidR="00AF75E4">
        <w:t>Majandus- ja Kommunikatsiooniministeeriumile</w:t>
      </w:r>
      <w:r w:rsidR="00AF75E4" w:rsidRPr="00233256">
        <w:t xml:space="preserve"> ja Sotsiaalministeeriumi</w:t>
      </w:r>
      <w:r w:rsidR="00AF75E4" w:rsidRPr="00EA5114">
        <w:t>le soovitusi avaliku sektori eelarvest finantseeritavate taseme- ja täiend</w:t>
      </w:r>
      <w:r w:rsidR="00AF75E4">
        <w:t>us</w:t>
      </w:r>
      <w:r w:rsidR="00AF75E4" w:rsidRPr="00C82E8A">
        <w:t xml:space="preserve">õppe koolituskohtade valdkondlikuks jaotamiseks. </w:t>
      </w:r>
    </w:p>
    <w:p w14:paraId="56EE563D" w14:textId="77777777" w:rsidR="00CF2E2C" w:rsidRPr="00290E02" w:rsidRDefault="007314FB" w:rsidP="00290E02">
      <w:pPr>
        <w:spacing w:before="240"/>
        <w:jc w:val="both"/>
        <w:rPr>
          <w:b/>
        </w:rPr>
      </w:pPr>
      <w:r w:rsidRPr="00290E02">
        <w:rPr>
          <w:b/>
        </w:rPr>
        <w:t>3.2. Põhi- ja keskhariduse järgse õppe</w:t>
      </w:r>
      <w:r w:rsidRPr="00CF2E2C">
        <w:t xml:space="preserve"> </w:t>
      </w:r>
      <w:r w:rsidRPr="00290E02">
        <w:rPr>
          <w:b/>
        </w:rPr>
        <w:t>korra</w:t>
      </w:r>
      <w:r w:rsidR="00E67AA8" w:rsidRPr="00290E02">
        <w:rPr>
          <w:b/>
        </w:rPr>
        <w:t>ldamine</w:t>
      </w:r>
      <w:r w:rsidRPr="00290E02">
        <w:rPr>
          <w:b/>
        </w:rPr>
        <w:t xml:space="preserve"> lähtuvalt töömaailma vajadustest.</w:t>
      </w:r>
      <w:r w:rsidRPr="00CF2E2C">
        <w:t xml:space="preserve">  Riik ja kutsetegevuse valdkonna nõukogud juhivad õppekavade korrastamise protsessi nii</w:t>
      </w:r>
      <w:r w:rsidRPr="001E4E63">
        <w:t xml:space="preserve">, et eri kvalifikatsioonide sisu </w:t>
      </w:r>
      <w:r w:rsidRPr="0092236C">
        <w:t>o</w:t>
      </w:r>
      <w:r>
        <w:t>leks</w:t>
      </w:r>
      <w:r w:rsidRPr="0092236C">
        <w:t xml:space="preserve"> ühiskonna jaoks </w:t>
      </w:r>
      <w:r>
        <w:t xml:space="preserve">arusaadav </w:t>
      </w:r>
      <w:r w:rsidRPr="00233256">
        <w:t>ning et vajalike kvalifikatsioonide omandamine oleks korraldatud tõhusalt (mh sobiv õpia</w:t>
      </w:r>
      <w:r>
        <w:t>eg</w:t>
      </w:r>
      <w:r w:rsidRPr="00233256">
        <w:t xml:space="preserve"> ning piisav praktika osatähtsus</w:t>
      </w:r>
      <w:r w:rsidR="00290E02">
        <w:t>)</w:t>
      </w:r>
      <w:r w:rsidR="00CF2E2C">
        <w:t>.</w:t>
      </w:r>
    </w:p>
    <w:p w14:paraId="56EE563E" w14:textId="77777777" w:rsidR="007314FB" w:rsidRPr="00EA5114" w:rsidRDefault="007314FB" w:rsidP="00CF5AF9">
      <w:pPr>
        <w:jc w:val="both"/>
      </w:pPr>
      <w:r>
        <w:t>Vajalikud tegevused:</w:t>
      </w:r>
    </w:p>
    <w:p w14:paraId="56EE563F" w14:textId="77777777" w:rsidR="007314FB" w:rsidRPr="001E4E63" w:rsidRDefault="007314FB" w:rsidP="007314FB">
      <w:pPr>
        <w:pStyle w:val="ListParagraph"/>
        <w:numPr>
          <w:ilvl w:val="0"/>
          <w:numId w:val="22"/>
        </w:numPr>
        <w:jc w:val="both"/>
      </w:pPr>
      <w:r>
        <w:t>õ</w:t>
      </w:r>
      <w:r w:rsidRPr="00EA5114">
        <w:t xml:space="preserve">ppeasutused </w:t>
      </w:r>
      <w:r>
        <w:t>arendavad oma õppekavu, arvestades töömaailma vajadusi ja arengusuundumusi ning seost kutsekvalifikatsioonisüsteemiga;</w:t>
      </w:r>
      <w:r w:rsidRPr="001E4E63">
        <w:t xml:space="preserve"> </w:t>
      </w:r>
    </w:p>
    <w:p w14:paraId="56EE5640" w14:textId="77777777" w:rsidR="00355734" w:rsidRPr="00355734" w:rsidRDefault="007314FB" w:rsidP="00355734">
      <w:pPr>
        <w:pStyle w:val="ListParagraph"/>
        <w:numPr>
          <w:ilvl w:val="0"/>
          <w:numId w:val="22"/>
        </w:numPr>
        <w:jc w:val="both"/>
        <w:rPr>
          <w:strike/>
        </w:rPr>
      </w:pPr>
      <w:r>
        <w:t>t</w:t>
      </w:r>
      <w:r w:rsidRPr="001E4E63">
        <w:t>öömaailma esindajad osalevad aktiivselt õppekavade arendamise</w:t>
      </w:r>
      <w:r w:rsidR="00290E02">
        <w:t>s ja õppeprotsessi kujundamises;</w:t>
      </w:r>
    </w:p>
    <w:p w14:paraId="56EE5641" w14:textId="77777777" w:rsidR="00355734" w:rsidRDefault="00290E02" w:rsidP="00355734">
      <w:pPr>
        <w:pStyle w:val="ListParagraph"/>
        <w:numPr>
          <w:ilvl w:val="0"/>
          <w:numId w:val="22"/>
        </w:numPr>
        <w:jc w:val="both"/>
      </w:pPr>
      <w:r>
        <w:t xml:space="preserve">töötatakse välja ja rakendatakse </w:t>
      </w:r>
      <w:r w:rsidR="00355734">
        <w:t>täiendus- ja ümberõppe kättesaadavust soodustava</w:t>
      </w:r>
      <w:r>
        <w:t>d</w:t>
      </w:r>
      <w:r w:rsidR="00355734">
        <w:t xml:space="preserve">, </w:t>
      </w:r>
      <w:r w:rsidR="00355734" w:rsidRPr="0012761D">
        <w:t>õppija, riigi ning tööandja kolmepoolsel panustamisel</w:t>
      </w:r>
      <w:r w:rsidR="00355734">
        <w:t xml:space="preserve"> põhineva</w:t>
      </w:r>
      <w:r>
        <w:t>d</w:t>
      </w:r>
      <w:r w:rsidR="00355734">
        <w:t xml:space="preserve"> täiendus- j</w:t>
      </w:r>
      <w:r>
        <w:t>a ümberõppe rahastamispõhimõtted.</w:t>
      </w:r>
    </w:p>
    <w:p w14:paraId="56EE5642" w14:textId="77777777" w:rsidR="00FD711A" w:rsidRDefault="00321C77" w:rsidP="00E27473">
      <w:pPr>
        <w:spacing w:after="240"/>
        <w:jc w:val="both"/>
      </w:pPr>
      <w:r>
        <w:rPr>
          <w:b/>
        </w:rPr>
        <w:t>3.</w:t>
      </w:r>
      <w:r w:rsidR="00AF75E4" w:rsidRPr="001E4E63">
        <w:rPr>
          <w:b/>
        </w:rPr>
        <w:t xml:space="preserve">3. </w:t>
      </w:r>
      <w:r>
        <w:rPr>
          <w:b/>
        </w:rPr>
        <w:t>Praktikakorralduse tõhustamine</w:t>
      </w:r>
      <w:r w:rsidR="00AF75E4" w:rsidRPr="001E4E63">
        <w:rPr>
          <w:b/>
        </w:rPr>
        <w:t>.</w:t>
      </w:r>
      <w:r w:rsidR="006E1630">
        <w:t xml:space="preserve"> </w:t>
      </w:r>
      <w:r w:rsidR="00AF75E4" w:rsidRPr="00423859">
        <w:t xml:space="preserve">Praktikakorralduse </w:t>
      </w:r>
      <w:r w:rsidR="00AF75E4" w:rsidRPr="001E4E63">
        <w:t xml:space="preserve">kvaliteedi tagamiseks luuakse keskne </w:t>
      </w:r>
      <w:r w:rsidR="00AF75E4" w:rsidRPr="001E4E63">
        <w:rPr>
          <w:b/>
        </w:rPr>
        <w:t>arendusprogramm</w:t>
      </w:r>
      <w:r w:rsidR="00AF75E4" w:rsidRPr="001E4E63">
        <w:t xml:space="preserve">, mis </w:t>
      </w:r>
      <w:r w:rsidR="00AF75E4" w:rsidRPr="00EA5114">
        <w:t>pakub</w:t>
      </w:r>
      <w:r w:rsidR="00AF75E4" w:rsidRPr="00EA5114" w:rsidDel="00EA5114">
        <w:t xml:space="preserve"> </w:t>
      </w:r>
      <w:r w:rsidR="00AF75E4" w:rsidRPr="00EA5114">
        <w:t xml:space="preserve">eri majandusharude vajadusi </w:t>
      </w:r>
      <w:r w:rsidR="00AF75E4" w:rsidRPr="00AE0145">
        <w:t xml:space="preserve">arvestades </w:t>
      </w:r>
      <w:r w:rsidR="00AF75E4" w:rsidRPr="00EA5114">
        <w:t xml:space="preserve">metoodilist tuge nii kutseõppeasutustele, kõrgkoolidele kui ka tööandjatele. </w:t>
      </w:r>
    </w:p>
    <w:p w14:paraId="56EE5643" w14:textId="77777777" w:rsidR="00AF75E4" w:rsidRPr="00EA5114" w:rsidRDefault="00FD711A" w:rsidP="00E27473">
      <w:pPr>
        <w:spacing w:after="240"/>
        <w:jc w:val="both"/>
      </w:pPr>
      <w:r>
        <w:t>V</w:t>
      </w:r>
      <w:r w:rsidR="00AF75E4" w:rsidRPr="00EA5114">
        <w:t>ajalikud</w:t>
      </w:r>
      <w:r>
        <w:t xml:space="preserve"> </w:t>
      </w:r>
      <w:r w:rsidR="00AF75E4" w:rsidRPr="00EA5114">
        <w:t>tegevused:</w:t>
      </w:r>
      <w:r w:rsidR="00AF75E4">
        <w:t xml:space="preserve"> </w:t>
      </w:r>
    </w:p>
    <w:p w14:paraId="56EE5644" w14:textId="77777777" w:rsidR="00AF75E4" w:rsidRPr="00EA5114" w:rsidRDefault="0011050B" w:rsidP="004B46A2">
      <w:pPr>
        <w:pStyle w:val="ListParagraph"/>
        <w:numPr>
          <w:ilvl w:val="0"/>
          <w:numId w:val="12"/>
        </w:numPr>
        <w:jc w:val="both"/>
      </w:pPr>
      <w:r>
        <w:t>e</w:t>
      </w:r>
      <w:r w:rsidR="00AF75E4" w:rsidRPr="00EA5114">
        <w:t xml:space="preserve">ttevõtjate </w:t>
      </w:r>
      <w:r w:rsidR="00AF75E4">
        <w:t>ja</w:t>
      </w:r>
      <w:r w:rsidR="00AF75E4" w:rsidRPr="00EA5114">
        <w:t xml:space="preserve"> õppeasutuste </w:t>
      </w:r>
      <w:r w:rsidR="00AF75E4">
        <w:t>t</w:t>
      </w:r>
      <w:r w:rsidR="00AF75E4" w:rsidRPr="00EA5114">
        <w:t>eadlikkuse tõstmi</w:t>
      </w:r>
      <w:r w:rsidR="00EC3747">
        <w:t>seks</w:t>
      </w:r>
      <w:r w:rsidR="00AF75E4">
        <w:t xml:space="preserve"> praktika </w:t>
      </w:r>
      <w:r w:rsidR="00EC3747">
        <w:t xml:space="preserve">olulisusest ja </w:t>
      </w:r>
      <w:r w:rsidR="00AF75E4">
        <w:t>korraldusest</w:t>
      </w:r>
      <w:r w:rsidR="00EC3747">
        <w:t xml:space="preserve"> levitatakse praktikakorralduse parimaid praktikaid, regulatsioonides tähtsustatakse praktika juhendamist</w:t>
      </w:r>
      <w:r w:rsidR="00AF75E4" w:rsidRPr="00EA5114">
        <w:t xml:space="preserve">, </w:t>
      </w:r>
      <w:r w:rsidR="00EC3747">
        <w:t xml:space="preserve">edendatakse </w:t>
      </w:r>
      <w:r w:rsidR="004270C6">
        <w:t>eri praktikavorm</w:t>
      </w:r>
      <w:r w:rsidR="00EC3747">
        <w:t>e</w:t>
      </w:r>
      <w:r w:rsidR="004270C6">
        <w:t xml:space="preserve"> või</w:t>
      </w:r>
      <w:r w:rsidR="00215E45">
        <w:t xml:space="preserve"> </w:t>
      </w:r>
      <w:r w:rsidR="004270C6">
        <w:t>-mudel</w:t>
      </w:r>
      <w:r w:rsidR="00EC3747">
        <w:t>eid</w:t>
      </w:r>
      <w:r w:rsidR="004270C6">
        <w:t xml:space="preserve"> </w:t>
      </w:r>
      <w:r w:rsidR="00215E45">
        <w:t>(sh erialaspetsiifilis</w:t>
      </w:r>
      <w:r w:rsidR="00EC3747">
        <w:t>i</w:t>
      </w:r>
      <w:r w:rsidR="00290E02">
        <w:t>);</w:t>
      </w:r>
      <w:r w:rsidR="004270C6">
        <w:t xml:space="preserve"> </w:t>
      </w:r>
      <w:r w:rsidR="00EC3747">
        <w:t xml:space="preserve"> </w:t>
      </w:r>
      <w:r w:rsidRPr="00EA5114">
        <w:t xml:space="preserve">  </w:t>
      </w:r>
    </w:p>
    <w:p w14:paraId="56EE5645" w14:textId="77777777" w:rsidR="00AF75E4" w:rsidRPr="00EA5114" w:rsidRDefault="00AF75E4" w:rsidP="004B46A2">
      <w:pPr>
        <w:pStyle w:val="ListParagraph"/>
        <w:numPr>
          <w:ilvl w:val="0"/>
          <w:numId w:val="12"/>
        </w:numPr>
        <w:jc w:val="both"/>
      </w:pPr>
      <w:r w:rsidRPr="00EA5114">
        <w:t>H</w:t>
      </w:r>
      <w:r>
        <w:t>aridus- ja Teadusministeeriumi</w:t>
      </w:r>
      <w:r w:rsidRPr="00EA5114">
        <w:t xml:space="preserve"> eestvedamisel töötatakse koostöös teiste valitsusasutustega välja </w:t>
      </w:r>
      <w:r w:rsidR="00EC3747">
        <w:t>hoovad</w:t>
      </w:r>
      <w:r w:rsidRPr="00EA5114">
        <w:t>, mis suurendavad ettevõtete huvi praktikakohtade pakkumise</w:t>
      </w:r>
      <w:r>
        <w:t xml:space="preserve"> vastu</w:t>
      </w:r>
      <w:r w:rsidRPr="00EA5114">
        <w:t>, arvestades ettevõtete kutsetegevusala</w:t>
      </w:r>
      <w:r w:rsidR="00662092">
        <w:t>st</w:t>
      </w:r>
      <w:r w:rsidRPr="00EA5114">
        <w:t xml:space="preserve"> ning  suurusest tulenevaid võimalusi ja piiranguid.</w:t>
      </w:r>
    </w:p>
    <w:p w14:paraId="56EE5646" w14:textId="77777777" w:rsidR="00FD711A" w:rsidRDefault="00BF652E" w:rsidP="00BD01A6">
      <w:pPr>
        <w:spacing w:before="240"/>
        <w:jc w:val="both"/>
      </w:pPr>
      <w:r>
        <w:rPr>
          <w:b/>
        </w:rPr>
        <w:t>3.</w:t>
      </w:r>
      <w:r w:rsidR="00AF75E4" w:rsidRPr="00AC066D">
        <w:rPr>
          <w:b/>
        </w:rPr>
        <w:t>4. Teadlike valikute kujundamiseks info</w:t>
      </w:r>
      <w:r w:rsidR="00AF75E4">
        <w:rPr>
          <w:b/>
        </w:rPr>
        <w:t>-</w:t>
      </w:r>
      <w:r w:rsidR="00AF75E4" w:rsidRPr="00AC066D">
        <w:rPr>
          <w:b/>
        </w:rPr>
        <w:t xml:space="preserve"> ja nõustamisteenuste</w:t>
      </w:r>
      <w:r w:rsidR="00AF75E4" w:rsidRPr="00AC066D">
        <w:t xml:space="preserve"> </w:t>
      </w:r>
      <w:r w:rsidR="00AF75E4" w:rsidRPr="00AC066D">
        <w:rPr>
          <w:b/>
        </w:rPr>
        <w:t xml:space="preserve">pakkumine </w:t>
      </w:r>
      <w:r w:rsidR="00AF75E4" w:rsidRPr="00AC066D">
        <w:t>(karjääriinfo ja -õpetus, info ameti- ja kutsealade tööhõive, töötuse ja palkade kohta, karjäärinõustamine).  Teadliku</w:t>
      </w:r>
      <w:r w:rsidR="00AF75E4" w:rsidRPr="001E4E63">
        <w:t xml:space="preserve">d otsused võimaldavad inimestel oma potentsiaali parimal </w:t>
      </w:r>
      <w:r w:rsidR="00AF75E4">
        <w:t xml:space="preserve">võimalikul </w:t>
      </w:r>
      <w:r w:rsidR="00AF75E4" w:rsidRPr="00AC066D">
        <w:t>moel</w:t>
      </w:r>
      <w:r w:rsidR="00AF75E4">
        <w:t xml:space="preserve"> välja arendada</w:t>
      </w:r>
      <w:r w:rsidR="00AF75E4" w:rsidRPr="00AC066D">
        <w:t xml:space="preserve">, vältides muuhulgas väljakujunenud soolisi </w:t>
      </w:r>
      <w:r w:rsidR="00A5324C">
        <w:t xml:space="preserve">ja ealisi </w:t>
      </w:r>
      <w:r w:rsidR="00AF75E4" w:rsidRPr="00AC066D">
        <w:t xml:space="preserve">stereotüüpe. Teadlik erialavalik aitab vähendada õpingute katkestamist ning loob eeldused, et inimene </w:t>
      </w:r>
      <w:r w:rsidR="00AF75E4">
        <w:t>suudab</w:t>
      </w:r>
      <w:r w:rsidR="00AF75E4" w:rsidRPr="00AC066D">
        <w:t xml:space="preserve"> omandatud teadmis</w:t>
      </w:r>
      <w:r w:rsidR="00AF75E4">
        <w:t>i</w:t>
      </w:r>
      <w:r w:rsidR="00AF75E4" w:rsidRPr="00AC066D">
        <w:t xml:space="preserve"> ja oskus</w:t>
      </w:r>
      <w:r w:rsidR="00AF75E4">
        <w:t>i</w:t>
      </w:r>
      <w:r w:rsidR="00AF75E4" w:rsidRPr="00AC066D">
        <w:t xml:space="preserve"> hiljem ka töömaailmas</w:t>
      </w:r>
      <w:r w:rsidR="00AF75E4">
        <w:t xml:space="preserve"> rakendada</w:t>
      </w:r>
      <w:r w:rsidR="00AF75E4" w:rsidRPr="00AC066D">
        <w:t xml:space="preserve">. </w:t>
      </w:r>
    </w:p>
    <w:p w14:paraId="56EE5647" w14:textId="77777777" w:rsidR="00AF75E4" w:rsidRPr="00AC066D" w:rsidRDefault="00FD711A" w:rsidP="00BD01A6">
      <w:pPr>
        <w:spacing w:before="240"/>
        <w:jc w:val="both"/>
      </w:pPr>
      <w:r>
        <w:t>Vajalikud tegevused</w:t>
      </w:r>
      <w:r w:rsidR="00AF75E4" w:rsidRPr="00AC066D">
        <w:t>:</w:t>
      </w:r>
    </w:p>
    <w:p w14:paraId="56EE5648" w14:textId="77777777" w:rsidR="00AF75E4" w:rsidRPr="00AC066D" w:rsidRDefault="0011050B" w:rsidP="004B46A2">
      <w:pPr>
        <w:pStyle w:val="ListParagraph"/>
        <w:numPr>
          <w:ilvl w:val="0"/>
          <w:numId w:val="7"/>
        </w:numPr>
        <w:jc w:val="both"/>
      </w:pPr>
      <w:r>
        <w:t>n</w:t>
      </w:r>
      <w:r w:rsidR="00AF75E4" w:rsidRPr="00AC066D">
        <w:t xml:space="preserve">õustamisteenuseid </w:t>
      </w:r>
      <w:r w:rsidR="00AF75E4">
        <w:t>p</w:t>
      </w:r>
      <w:r w:rsidR="00AF75E4" w:rsidRPr="00AC066D">
        <w:t>akutakse süsteemselt</w:t>
      </w:r>
      <w:r w:rsidR="00AF75E4">
        <w:t xml:space="preserve"> kõikidele vanuserühmadele</w:t>
      </w:r>
      <w:r w:rsidR="00AF75E4" w:rsidRPr="00AC066D">
        <w:t>, prioritee</w:t>
      </w:r>
      <w:r w:rsidR="00AF75E4">
        <w:t>t</w:t>
      </w:r>
      <w:r w:rsidR="00AF75E4" w:rsidRPr="00AC066D">
        <w:t xml:space="preserve"> on põhikooli III aste (7.</w:t>
      </w:r>
      <w:r w:rsidR="00AF75E4">
        <w:t>−</w:t>
      </w:r>
      <w:r w:rsidR="00AF75E4" w:rsidRPr="00AC066D">
        <w:t>9. klass), kus karjääriõpe ja -nõustamine tagatakse kõigile õpilastele</w:t>
      </w:r>
      <w:r>
        <w:t>;</w:t>
      </w:r>
    </w:p>
    <w:p w14:paraId="56EE5649" w14:textId="77777777" w:rsidR="00A04E17" w:rsidRDefault="00AF75E4" w:rsidP="004B46A2">
      <w:pPr>
        <w:pStyle w:val="ListParagraph"/>
        <w:numPr>
          <w:ilvl w:val="0"/>
          <w:numId w:val="7"/>
        </w:numPr>
        <w:jc w:val="both"/>
      </w:pPr>
      <w:r>
        <w:t>Haridus- ja Teadusministeerium</w:t>
      </w:r>
      <w:r w:rsidRPr="00134133">
        <w:t xml:space="preserve"> koostöös Sotsiaalministeeriumiga </w:t>
      </w:r>
      <w:r w:rsidR="00A04E17">
        <w:t>tagavad tervikliku</w:t>
      </w:r>
      <w:r w:rsidR="00355734">
        <w:t>, kestliku</w:t>
      </w:r>
      <w:r w:rsidR="00215E45" w:rsidRPr="00134133">
        <w:t xml:space="preserve"> </w:t>
      </w:r>
      <w:r>
        <w:t xml:space="preserve">ning </w:t>
      </w:r>
      <w:r w:rsidR="00A04E17">
        <w:t>kasutaja</w:t>
      </w:r>
      <w:r>
        <w:t xml:space="preserve">sõbraliku </w:t>
      </w:r>
      <w:r w:rsidRPr="00134133">
        <w:t>karjäärinõustamissüsteem</w:t>
      </w:r>
      <w:r w:rsidR="00EC3747">
        <w:t xml:space="preserve"> </w:t>
      </w:r>
      <w:r w:rsidRPr="00134133">
        <w:t xml:space="preserve">toimimise, mis </w:t>
      </w:r>
      <w:r>
        <w:t>aitab</w:t>
      </w:r>
      <w:r w:rsidRPr="00AC066D">
        <w:t xml:space="preserve"> inimes</w:t>
      </w:r>
      <w:r>
        <w:t>i</w:t>
      </w:r>
      <w:r w:rsidRPr="00AC066D">
        <w:t>, kes soovivad ennast täiendada</w:t>
      </w:r>
      <w:r w:rsidR="00A04E17">
        <w:t>,</w:t>
      </w:r>
      <w:r w:rsidR="00AA346B">
        <w:t xml:space="preserve"> </w:t>
      </w:r>
      <w:r w:rsidRPr="00AC066D">
        <w:t>uut eriala omandada</w:t>
      </w:r>
      <w:r w:rsidR="00A04E17">
        <w:t xml:space="preserve"> või võtta ette muutusi tööalases elus.</w:t>
      </w:r>
      <w:r w:rsidR="0011050B" w:rsidRPr="00AC066D">
        <w:t xml:space="preserve"> </w:t>
      </w:r>
      <w:r w:rsidR="00A04E17">
        <w:t>Tagatakse karjääri</w:t>
      </w:r>
      <w:r>
        <w:t>nõustamis</w:t>
      </w:r>
      <w:r w:rsidR="00A04E17">
        <w:t>e</w:t>
      </w:r>
      <w:r>
        <w:t xml:space="preserve"> kättesaadavus</w:t>
      </w:r>
      <w:r w:rsidR="008E7ED5">
        <w:t xml:space="preserve"> nii noortele kui täiskasvanutele</w:t>
      </w:r>
      <w:r w:rsidR="0011050B">
        <w:t xml:space="preserve">;  </w:t>
      </w:r>
    </w:p>
    <w:p w14:paraId="56EE564A" w14:textId="77777777" w:rsidR="00AF75E4" w:rsidRPr="00AC066D" w:rsidRDefault="0011050B" w:rsidP="004B46A2">
      <w:pPr>
        <w:pStyle w:val="ListParagraph"/>
        <w:numPr>
          <w:ilvl w:val="0"/>
          <w:numId w:val="7"/>
        </w:numPr>
        <w:jc w:val="both"/>
      </w:pPr>
      <w:r>
        <w:rPr>
          <w:rFonts w:ascii="Calibri" w:hAnsi="Calibri" w:cs="Segoe UI"/>
        </w:rPr>
        <w:t>n</w:t>
      </w:r>
      <w:r w:rsidR="00AF75E4" w:rsidRPr="00134133">
        <w:rPr>
          <w:rFonts w:ascii="Calibri" w:hAnsi="Calibri" w:cs="Segoe UI"/>
        </w:rPr>
        <w:t>õustamis</w:t>
      </w:r>
      <w:r w:rsidR="00AF75E4">
        <w:rPr>
          <w:rFonts w:ascii="Calibri" w:hAnsi="Calibri" w:cs="Segoe UI"/>
        </w:rPr>
        <w:t>teenuste</w:t>
      </w:r>
      <w:r w:rsidR="00AF75E4" w:rsidRPr="00134133">
        <w:rPr>
          <w:rFonts w:ascii="Calibri" w:hAnsi="Calibri" w:cs="Segoe UI"/>
        </w:rPr>
        <w:t xml:space="preserve"> kvalitee</w:t>
      </w:r>
      <w:r w:rsidR="00AF75E4">
        <w:rPr>
          <w:rFonts w:ascii="Calibri" w:hAnsi="Calibri" w:cs="Segoe UI"/>
        </w:rPr>
        <w:t>di tagamiseks</w:t>
      </w:r>
      <w:r w:rsidR="000E3638">
        <w:rPr>
          <w:rFonts w:ascii="Calibri" w:hAnsi="Calibri" w:cs="Segoe UI"/>
        </w:rPr>
        <w:t xml:space="preserve"> </w:t>
      </w:r>
      <w:r w:rsidR="00AF75E4">
        <w:rPr>
          <w:rFonts w:ascii="Calibri" w:hAnsi="Calibri" w:cs="Segoe UI"/>
        </w:rPr>
        <w:t xml:space="preserve">rakendatakse </w:t>
      </w:r>
      <w:r w:rsidR="000E3638">
        <w:rPr>
          <w:rFonts w:ascii="Calibri" w:hAnsi="Calibri" w:cs="Segoe UI"/>
        </w:rPr>
        <w:t>karjäärinõustajate</w:t>
      </w:r>
      <w:r w:rsidR="00AF75E4">
        <w:rPr>
          <w:rFonts w:ascii="Calibri" w:hAnsi="Calibri" w:cs="Segoe UI"/>
        </w:rPr>
        <w:t xml:space="preserve"> valikul ja regulaarsel atesteerimisel</w:t>
      </w:r>
      <w:r w:rsidR="000E3638">
        <w:rPr>
          <w:rFonts w:ascii="Calibri" w:hAnsi="Calibri" w:cs="Segoe UI"/>
        </w:rPr>
        <w:t xml:space="preserve"> kutsestandardi pädevusnõudeid</w:t>
      </w:r>
      <w:r>
        <w:rPr>
          <w:rFonts w:ascii="Calibri" w:hAnsi="Calibri" w:cs="Segoe UI"/>
        </w:rPr>
        <w:t>; k</w:t>
      </w:r>
      <w:r w:rsidR="00AF75E4">
        <w:rPr>
          <w:rFonts w:ascii="Calibri" w:hAnsi="Calibri" w:cs="Segoe UI"/>
        </w:rPr>
        <w:t>arjäärinõustajatele pakutakse nende arenguvajadustele vastavaid kutse- ja ametialaseid koolitusi ning tagatakse asjakohase tööturu- ja õpivõimaluste alase informatsiooni kättesaadavus</w:t>
      </w:r>
      <w:r w:rsidR="00AD45F0">
        <w:rPr>
          <w:rFonts w:ascii="Calibri" w:hAnsi="Calibri" w:cs="Segoe UI"/>
        </w:rPr>
        <w:t xml:space="preserve">; </w:t>
      </w:r>
    </w:p>
    <w:p w14:paraId="56EE564B" w14:textId="77777777" w:rsidR="00AF75E4" w:rsidRPr="001E4E63" w:rsidRDefault="00AD45F0" w:rsidP="004B46A2">
      <w:pPr>
        <w:pStyle w:val="ListParagraph"/>
        <w:numPr>
          <w:ilvl w:val="0"/>
          <w:numId w:val="7"/>
        </w:numPr>
        <w:jc w:val="both"/>
      </w:pPr>
      <w:r>
        <w:t>a</w:t>
      </w:r>
      <w:r w:rsidR="00AF75E4" w:rsidRPr="00AC066D">
        <w:t xml:space="preserve">rendatakse välja keskne </w:t>
      </w:r>
      <w:r w:rsidR="00AF75E4" w:rsidRPr="00134133">
        <w:rPr>
          <w:rFonts w:ascii="Calibri" w:hAnsi="Calibri" w:cs="Segoe UI"/>
        </w:rPr>
        <w:t xml:space="preserve">portaal, kus on kasutajasõbralikult kättesaadav info </w:t>
      </w:r>
      <w:r w:rsidR="00AF75E4">
        <w:rPr>
          <w:rFonts w:ascii="Calibri" w:hAnsi="Calibri" w:cs="Segoe UI"/>
        </w:rPr>
        <w:t xml:space="preserve">tööturu vajaduste ning </w:t>
      </w:r>
      <w:r w:rsidR="00AF75E4" w:rsidRPr="00134133">
        <w:rPr>
          <w:rFonts w:ascii="Calibri" w:hAnsi="Calibri" w:cs="Segoe UI"/>
        </w:rPr>
        <w:t>erinevate täiend</w:t>
      </w:r>
      <w:r w:rsidR="00AF75E4">
        <w:rPr>
          <w:rFonts w:ascii="Calibri" w:hAnsi="Calibri" w:cs="Segoe UI"/>
        </w:rPr>
        <w:t>us</w:t>
      </w:r>
      <w:r w:rsidR="00AF75E4" w:rsidRPr="00AC066D">
        <w:rPr>
          <w:rFonts w:ascii="Calibri" w:hAnsi="Calibri" w:cs="Segoe UI"/>
        </w:rPr>
        <w:t xml:space="preserve">- ja ümberõppevõimaluste kohta. </w:t>
      </w:r>
    </w:p>
    <w:p w14:paraId="56EE564C" w14:textId="77777777" w:rsidR="00F32922" w:rsidRDefault="00BF652E" w:rsidP="00E27473">
      <w:pPr>
        <w:jc w:val="both"/>
      </w:pPr>
      <w:r>
        <w:rPr>
          <w:b/>
        </w:rPr>
        <w:t>3.</w:t>
      </w:r>
      <w:r w:rsidR="00AF75E4" w:rsidRPr="001E4E63">
        <w:rPr>
          <w:b/>
        </w:rPr>
        <w:t>5.</w:t>
      </w:r>
      <w:r w:rsidR="002A3BC6">
        <w:rPr>
          <w:b/>
        </w:rPr>
        <w:t xml:space="preserve"> T</w:t>
      </w:r>
      <w:r w:rsidR="00AF75E4" w:rsidRPr="001E4E63">
        <w:rPr>
          <w:b/>
        </w:rPr>
        <w:t>öötajate ettevalmistami</w:t>
      </w:r>
      <w:r w:rsidR="002A3BC6">
        <w:rPr>
          <w:b/>
        </w:rPr>
        <w:t>ne</w:t>
      </w:r>
      <w:r w:rsidR="00AF75E4" w:rsidRPr="001E4E63">
        <w:rPr>
          <w:b/>
        </w:rPr>
        <w:t xml:space="preserve"> majanduse kasvuvaldkondades.</w:t>
      </w:r>
      <w:r w:rsidR="00FD711A">
        <w:t xml:space="preserve"> </w:t>
      </w:r>
      <w:r w:rsidR="00AF75E4" w:rsidRPr="001E4E63">
        <w:t xml:space="preserve">Eesti jaoks oluliste majandussektorite kindlustatust kvalifitseeritud kohalike töötajatega tuleb oluliselt parandada, et tõsta Eesti majanduse tootlikkust ja ekspordivõimekust. Esmajärjekorras </w:t>
      </w:r>
      <w:r w:rsidR="00D60FE0">
        <w:t xml:space="preserve">tegeldakse </w:t>
      </w:r>
      <w:r w:rsidR="00AF75E4">
        <w:t xml:space="preserve">nn </w:t>
      </w:r>
      <w:r w:rsidR="00AF75E4" w:rsidRPr="00134133">
        <w:t>kasvuvaldkondade</w:t>
      </w:r>
      <w:r w:rsidR="00AF75E4">
        <w:t xml:space="preserve">ga, mis on määratletud </w:t>
      </w:r>
      <w:r w:rsidR="00AF75E4" w:rsidRPr="00134133">
        <w:t xml:space="preserve">„Eesti </w:t>
      </w:r>
      <w:r w:rsidR="006C2C1C">
        <w:t>te</w:t>
      </w:r>
      <w:r w:rsidR="00AF75E4" w:rsidRPr="00134133">
        <w:t xml:space="preserve">adus- ja arendustegevuse ning innovatsiooni </w:t>
      </w:r>
      <w:r w:rsidR="00AF75E4" w:rsidRPr="007314FB">
        <w:t>strateegias 2014−2020</w:t>
      </w:r>
      <w:r w:rsidR="00AF75E4" w:rsidRPr="00134133">
        <w:t xml:space="preserve"> ning „Eesti ettevõtluse kasvustrateegias 2020“</w:t>
      </w:r>
      <w:r w:rsidR="006263D4">
        <w:rPr>
          <w:rStyle w:val="FootnoteReference"/>
        </w:rPr>
        <w:footnoteReference w:id="15"/>
      </w:r>
      <w:r w:rsidR="00AF75E4">
        <w:t xml:space="preserve">. </w:t>
      </w:r>
    </w:p>
    <w:p w14:paraId="56EE564D" w14:textId="77777777" w:rsidR="00AF75E4" w:rsidRPr="00134133" w:rsidRDefault="00F32922" w:rsidP="00E27473">
      <w:pPr>
        <w:jc w:val="both"/>
      </w:pPr>
      <w:r>
        <w:t>Vajalikud</w:t>
      </w:r>
      <w:r w:rsidR="00AD45F0">
        <w:t xml:space="preserve"> tegevused:</w:t>
      </w:r>
    </w:p>
    <w:p w14:paraId="56EE564E" w14:textId="77777777" w:rsidR="00AF75E4" w:rsidRPr="00C403A8" w:rsidRDefault="00AD45F0" w:rsidP="004B46A2">
      <w:pPr>
        <w:numPr>
          <w:ilvl w:val="0"/>
          <w:numId w:val="32"/>
        </w:numPr>
        <w:contextualSpacing/>
        <w:jc w:val="both"/>
        <w:rPr>
          <w:rFonts w:ascii="Calibri" w:eastAsia="Calibri" w:hAnsi="Calibri" w:cs="Times New Roman"/>
        </w:rPr>
      </w:pPr>
      <w:r>
        <w:rPr>
          <w:rFonts w:ascii="Calibri" w:eastAsia="Calibri" w:hAnsi="Calibri" w:cs="Times New Roman"/>
        </w:rPr>
        <w:t>ü</w:t>
      </w:r>
      <w:r w:rsidR="00AA346B">
        <w:rPr>
          <w:rFonts w:ascii="Calibri" w:eastAsia="Calibri" w:hAnsi="Calibri" w:cs="Times New Roman"/>
        </w:rPr>
        <w:t>ldharidus</w:t>
      </w:r>
      <w:r w:rsidR="00840D35">
        <w:rPr>
          <w:rFonts w:ascii="Calibri" w:eastAsia="Calibri" w:hAnsi="Calibri" w:cs="Times New Roman"/>
        </w:rPr>
        <w:t>es</w:t>
      </w:r>
      <w:r w:rsidR="00AF75E4" w:rsidRPr="00C403A8">
        <w:rPr>
          <w:rFonts w:ascii="Calibri" w:eastAsia="Calibri" w:hAnsi="Calibri" w:cs="Times New Roman"/>
        </w:rPr>
        <w:t xml:space="preserve"> </w:t>
      </w:r>
      <w:r w:rsidR="00840D35">
        <w:rPr>
          <w:rFonts w:ascii="Calibri" w:eastAsia="Calibri" w:hAnsi="Calibri" w:cs="Times New Roman"/>
        </w:rPr>
        <w:t>populariseeritakse reaalainete õppimist (</w:t>
      </w:r>
      <w:r w:rsidR="00AF75E4" w:rsidRPr="00C403A8">
        <w:rPr>
          <w:rFonts w:ascii="Calibri" w:eastAsia="Calibri" w:hAnsi="Calibri" w:cs="Times New Roman"/>
        </w:rPr>
        <w:t>e</w:t>
      </w:r>
      <w:r w:rsidR="00840D35">
        <w:rPr>
          <w:rFonts w:ascii="Calibri" w:eastAsia="Calibri" w:hAnsi="Calibri" w:cs="Times New Roman"/>
        </w:rPr>
        <w:t>riti tüdrukute seas)</w:t>
      </w:r>
      <w:r w:rsidR="00652E12">
        <w:rPr>
          <w:rFonts w:ascii="Calibri" w:eastAsia="Calibri" w:hAnsi="Calibri" w:cs="Times New Roman"/>
        </w:rPr>
        <w:t>,</w:t>
      </w:r>
      <w:r w:rsidR="00840D35">
        <w:rPr>
          <w:rFonts w:ascii="Calibri" w:eastAsia="Calibri" w:hAnsi="Calibri" w:cs="Times New Roman"/>
        </w:rPr>
        <w:t xml:space="preserve"> </w:t>
      </w:r>
      <w:r w:rsidR="00AF75E4" w:rsidRPr="00C403A8">
        <w:rPr>
          <w:rFonts w:ascii="Calibri" w:eastAsia="Calibri" w:hAnsi="Calibri" w:cs="Times New Roman"/>
        </w:rPr>
        <w:t xml:space="preserve"> </w:t>
      </w:r>
      <w:r w:rsidR="00840D35">
        <w:rPr>
          <w:rFonts w:ascii="Calibri" w:eastAsia="Calibri" w:hAnsi="Calibri" w:cs="Times New Roman"/>
        </w:rPr>
        <w:t>kaasajastatakse reaalainete</w:t>
      </w:r>
      <w:r w:rsidR="00AF75E4" w:rsidRPr="00C403A8">
        <w:rPr>
          <w:rFonts w:ascii="Calibri" w:eastAsia="Calibri" w:hAnsi="Calibri" w:cs="Times New Roman"/>
        </w:rPr>
        <w:t xml:space="preserve"> </w:t>
      </w:r>
      <w:r w:rsidR="00AF75E4">
        <w:rPr>
          <w:rFonts w:ascii="Calibri" w:eastAsia="Calibri" w:hAnsi="Calibri" w:cs="Times New Roman"/>
        </w:rPr>
        <w:t>õppe</w:t>
      </w:r>
      <w:r w:rsidR="00AF75E4" w:rsidRPr="00C403A8">
        <w:rPr>
          <w:rFonts w:ascii="Calibri" w:eastAsia="Calibri" w:hAnsi="Calibri" w:cs="Times New Roman"/>
        </w:rPr>
        <w:t xml:space="preserve"> </w:t>
      </w:r>
      <w:r w:rsidR="00AF75E4">
        <w:rPr>
          <w:rFonts w:ascii="Calibri" w:eastAsia="Calibri" w:hAnsi="Calibri" w:cs="Times New Roman"/>
        </w:rPr>
        <w:t>sisu ja meetod</w:t>
      </w:r>
      <w:r w:rsidR="00840D35">
        <w:rPr>
          <w:rFonts w:ascii="Calibri" w:eastAsia="Calibri" w:hAnsi="Calibri" w:cs="Times New Roman"/>
        </w:rPr>
        <w:t>eid</w:t>
      </w:r>
      <w:r w:rsidR="00E51D17">
        <w:rPr>
          <w:rFonts w:ascii="Calibri" w:eastAsia="Calibri" w:hAnsi="Calibri" w:cs="Times New Roman"/>
        </w:rPr>
        <w:t>;</w:t>
      </w:r>
    </w:p>
    <w:p w14:paraId="56EE564F" w14:textId="77777777" w:rsidR="00AF75E4"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l</w:t>
      </w:r>
      <w:r w:rsidR="00AF75E4">
        <w:rPr>
          <w:rFonts w:ascii="Calibri" w:eastAsia="Calibri" w:hAnsi="Calibri" w:cs="Times New Roman"/>
        </w:rPr>
        <w:t>aiendatakse tehnika ja loodusteaduse alase huvihariduse võimalusi (huviringid, õpilasakadeemiad, teaduskoolid, muuseumiõpe jms</w:t>
      </w:r>
      <w:r>
        <w:rPr>
          <w:rFonts w:ascii="Calibri" w:eastAsia="Calibri" w:hAnsi="Calibri" w:cs="Times New Roman"/>
        </w:rPr>
        <w:t xml:space="preserve">); </w:t>
      </w:r>
    </w:p>
    <w:p w14:paraId="56EE5650" w14:textId="77777777" w:rsidR="00AF75E4" w:rsidRPr="00C403A8"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k</w:t>
      </w:r>
      <w:r w:rsidR="00AF75E4" w:rsidRPr="00C403A8">
        <w:rPr>
          <w:rFonts w:ascii="Calibri" w:eastAsia="Calibri" w:hAnsi="Calibri" w:cs="Times New Roman"/>
        </w:rPr>
        <w:t>utse- ja kõrghariduse tasemel pakut</w:t>
      </w:r>
      <w:r w:rsidR="00AF75E4">
        <w:rPr>
          <w:rFonts w:ascii="Calibri" w:eastAsia="Calibri" w:hAnsi="Calibri" w:cs="Times New Roman"/>
        </w:rPr>
        <w:t>akse arendustoetusi</w:t>
      </w:r>
      <w:r w:rsidR="00AF75E4" w:rsidRPr="00C403A8">
        <w:rPr>
          <w:rFonts w:ascii="Calibri" w:eastAsia="Calibri" w:hAnsi="Calibri" w:cs="Times New Roman"/>
        </w:rPr>
        <w:t xml:space="preserve"> õppekavade</w:t>
      </w:r>
      <w:r w:rsidR="00756F1E">
        <w:rPr>
          <w:rFonts w:ascii="Calibri" w:eastAsia="Calibri" w:hAnsi="Calibri" w:cs="Times New Roman"/>
        </w:rPr>
        <w:t xml:space="preserve"> ja moodulite väljaarendamiseks</w:t>
      </w:r>
      <w:r>
        <w:rPr>
          <w:rFonts w:ascii="Calibri" w:eastAsia="Calibri" w:hAnsi="Calibri" w:cs="Times New Roman"/>
        </w:rPr>
        <w:t>;</w:t>
      </w:r>
    </w:p>
    <w:p w14:paraId="56EE5651" w14:textId="77777777" w:rsidR="00AF75E4" w:rsidRPr="00C403A8"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l</w:t>
      </w:r>
      <w:r w:rsidR="00AF75E4" w:rsidRPr="00C403A8">
        <w:rPr>
          <w:rFonts w:ascii="Calibri" w:eastAsia="Calibri" w:hAnsi="Calibri" w:cs="Times New Roman"/>
        </w:rPr>
        <w:t>uuakse õppijatele ja õpetajatele motivatsioonipaketid, sh. akadeemilise karjääri soodustamiseks ning kasvuvaldkondadega seotud</w:t>
      </w:r>
      <w:r w:rsidR="00756F1E">
        <w:rPr>
          <w:rFonts w:ascii="Calibri" w:eastAsia="Calibri" w:hAnsi="Calibri" w:cs="Times New Roman"/>
        </w:rPr>
        <w:t xml:space="preserve"> teadustöö mahu suurendamiseks</w:t>
      </w:r>
      <w:r>
        <w:rPr>
          <w:rFonts w:ascii="Calibri" w:eastAsia="Calibri" w:hAnsi="Calibri" w:cs="Times New Roman"/>
        </w:rPr>
        <w:t>;</w:t>
      </w:r>
    </w:p>
    <w:p w14:paraId="56EE5652" w14:textId="77777777" w:rsidR="00AF75E4" w:rsidRPr="00C403A8"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t</w:t>
      </w:r>
      <w:r w:rsidR="00AF75E4" w:rsidRPr="00C403A8">
        <w:rPr>
          <w:rFonts w:ascii="Calibri" w:eastAsia="Calibri" w:hAnsi="Calibri" w:cs="Times New Roman"/>
        </w:rPr>
        <w:t>ööturul olijatele pakutakse kasvuvaldkondi toetavaid täiend</w:t>
      </w:r>
      <w:r w:rsidR="00D60FE0">
        <w:rPr>
          <w:rFonts w:ascii="Calibri" w:eastAsia="Calibri" w:hAnsi="Calibri" w:cs="Times New Roman"/>
        </w:rPr>
        <w:t>us</w:t>
      </w:r>
      <w:r w:rsidR="00AF75E4" w:rsidRPr="00C403A8">
        <w:rPr>
          <w:rFonts w:ascii="Calibri" w:eastAsia="Calibri" w:hAnsi="Calibri" w:cs="Times New Roman"/>
        </w:rPr>
        <w:t>- ja ümberõppekoolitusi</w:t>
      </w:r>
      <w:r>
        <w:rPr>
          <w:rFonts w:ascii="Calibri" w:eastAsia="Calibri" w:hAnsi="Calibri" w:cs="Times New Roman"/>
        </w:rPr>
        <w:t>;</w:t>
      </w:r>
    </w:p>
    <w:p w14:paraId="56EE5653" w14:textId="77777777" w:rsidR="00AF75E4"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t</w:t>
      </w:r>
      <w:r w:rsidR="00AF75E4" w:rsidRPr="00C403A8">
        <w:rPr>
          <w:rFonts w:ascii="Calibri" w:eastAsia="Calibri" w:hAnsi="Calibri" w:cs="Times New Roman"/>
        </w:rPr>
        <w:t>oetatakse rahvusvahelis</w:t>
      </w:r>
      <w:r w:rsidR="00AF75E4">
        <w:rPr>
          <w:rFonts w:ascii="Calibri" w:eastAsia="Calibri" w:hAnsi="Calibri" w:cs="Times New Roman"/>
        </w:rPr>
        <w:t>t</w:t>
      </w:r>
      <w:r w:rsidR="00AF75E4" w:rsidRPr="00C403A8">
        <w:rPr>
          <w:rFonts w:ascii="Calibri" w:eastAsia="Calibri" w:hAnsi="Calibri" w:cs="Times New Roman"/>
        </w:rPr>
        <w:t>e kogemus</w:t>
      </w:r>
      <w:r w:rsidR="00AF75E4">
        <w:rPr>
          <w:rFonts w:ascii="Calibri" w:eastAsia="Calibri" w:hAnsi="Calibri" w:cs="Times New Roman"/>
        </w:rPr>
        <w:t>t</w:t>
      </w:r>
      <w:r w:rsidR="00AF75E4" w:rsidRPr="00C403A8">
        <w:rPr>
          <w:rFonts w:ascii="Calibri" w:eastAsia="Calibri" w:hAnsi="Calibri" w:cs="Times New Roman"/>
        </w:rPr>
        <w:t xml:space="preserve">e ja </w:t>
      </w:r>
      <w:r w:rsidR="00D60FE0">
        <w:rPr>
          <w:rFonts w:ascii="Calibri" w:eastAsia="Calibri" w:hAnsi="Calibri" w:cs="Times New Roman"/>
        </w:rPr>
        <w:t>pädevuse</w:t>
      </w:r>
      <w:r w:rsidR="00D60FE0" w:rsidRPr="00C403A8">
        <w:rPr>
          <w:rFonts w:ascii="Calibri" w:eastAsia="Calibri" w:hAnsi="Calibri" w:cs="Times New Roman"/>
        </w:rPr>
        <w:t xml:space="preserve"> </w:t>
      </w:r>
      <w:r w:rsidR="00AF75E4" w:rsidRPr="00C403A8">
        <w:rPr>
          <w:rFonts w:ascii="Calibri" w:eastAsia="Calibri" w:hAnsi="Calibri" w:cs="Times New Roman"/>
        </w:rPr>
        <w:t xml:space="preserve">toomist kõrgkoolidesse kvaliteedi ja atraktiivsuse </w:t>
      </w:r>
      <w:r w:rsidR="00AF75E4">
        <w:rPr>
          <w:rFonts w:ascii="Calibri" w:eastAsia="Calibri" w:hAnsi="Calibri" w:cs="Times New Roman"/>
        </w:rPr>
        <w:t>suurendamise eesmärgil</w:t>
      </w:r>
      <w:r>
        <w:rPr>
          <w:rFonts w:ascii="Calibri" w:eastAsia="Calibri" w:hAnsi="Calibri" w:cs="Times New Roman"/>
        </w:rPr>
        <w:t xml:space="preserve">; </w:t>
      </w:r>
    </w:p>
    <w:p w14:paraId="56EE5654" w14:textId="77777777" w:rsidR="00AF75E4" w:rsidRDefault="00E51D17" w:rsidP="004B46A2">
      <w:pPr>
        <w:numPr>
          <w:ilvl w:val="0"/>
          <w:numId w:val="32"/>
        </w:numPr>
        <w:contextualSpacing/>
        <w:jc w:val="both"/>
        <w:rPr>
          <w:rFonts w:ascii="Calibri" w:eastAsia="Calibri" w:hAnsi="Calibri" w:cs="Times New Roman"/>
        </w:rPr>
      </w:pPr>
      <w:r>
        <w:rPr>
          <w:rFonts w:ascii="Calibri" w:eastAsia="Calibri" w:hAnsi="Calibri" w:cs="Times New Roman"/>
        </w:rPr>
        <w:t>t</w:t>
      </w:r>
      <w:r w:rsidR="00AF75E4">
        <w:rPr>
          <w:rFonts w:ascii="Calibri" w:eastAsia="Calibri" w:hAnsi="Calibri" w:cs="Times New Roman"/>
        </w:rPr>
        <w:t xml:space="preserve">alente </w:t>
      </w:r>
      <w:r w:rsidR="004217A2">
        <w:rPr>
          <w:rFonts w:ascii="Calibri" w:eastAsia="Calibri" w:hAnsi="Calibri" w:cs="Times New Roman"/>
        </w:rPr>
        <w:t xml:space="preserve">kutsutakse </w:t>
      </w:r>
      <w:r w:rsidR="003840B0">
        <w:rPr>
          <w:rFonts w:ascii="Calibri" w:eastAsia="Calibri" w:hAnsi="Calibri" w:cs="Times New Roman"/>
        </w:rPr>
        <w:t xml:space="preserve">Eestisse õppima </w:t>
      </w:r>
      <w:r w:rsidR="00AF75E4">
        <w:rPr>
          <w:rFonts w:ascii="Calibri" w:eastAsia="Calibri" w:hAnsi="Calibri" w:cs="Times New Roman"/>
        </w:rPr>
        <w:t>lähtuvalt tööturu vajadustest, välisüliõpilastele</w:t>
      </w:r>
      <w:r w:rsidR="004217A2" w:rsidRPr="004217A2">
        <w:rPr>
          <w:rFonts w:ascii="Calibri" w:eastAsia="Calibri" w:hAnsi="Calibri" w:cs="Times New Roman"/>
        </w:rPr>
        <w:t xml:space="preserve"> </w:t>
      </w:r>
      <w:r w:rsidR="004217A2">
        <w:rPr>
          <w:rFonts w:ascii="Calibri" w:eastAsia="Calibri" w:hAnsi="Calibri" w:cs="Times New Roman"/>
        </w:rPr>
        <w:t>tagatakse</w:t>
      </w:r>
      <w:r w:rsidR="004217A2" w:rsidRPr="004217A2">
        <w:rPr>
          <w:rFonts w:ascii="Calibri" w:eastAsia="Calibri" w:hAnsi="Calibri" w:cs="Times New Roman"/>
        </w:rPr>
        <w:t xml:space="preserve"> </w:t>
      </w:r>
      <w:r w:rsidR="004217A2">
        <w:rPr>
          <w:rFonts w:ascii="Calibri" w:eastAsia="Calibri" w:hAnsi="Calibri" w:cs="Times New Roman"/>
        </w:rPr>
        <w:t>praktikakohad</w:t>
      </w:r>
      <w:r w:rsidR="00AF75E4">
        <w:rPr>
          <w:rFonts w:ascii="Calibri" w:eastAsia="Calibri" w:hAnsi="Calibri" w:cs="Times New Roman"/>
        </w:rPr>
        <w:t>.</w:t>
      </w:r>
    </w:p>
    <w:p w14:paraId="56EE5655" w14:textId="77777777" w:rsidR="00A5324C" w:rsidRDefault="00A5324C" w:rsidP="00BF652E">
      <w:pPr>
        <w:contextualSpacing/>
        <w:jc w:val="both"/>
        <w:rPr>
          <w:rFonts w:ascii="Calibri" w:eastAsia="Calibri" w:hAnsi="Calibri" w:cs="Times New Roman"/>
        </w:rPr>
      </w:pPr>
    </w:p>
    <w:p w14:paraId="56EE5656" w14:textId="77777777" w:rsidR="00B42002" w:rsidRDefault="00B42002" w:rsidP="00BF652E">
      <w:pPr>
        <w:contextualSpacing/>
        <w:jc w:val="both"/>
        <w:rPr>
          <w:rFonts w:ascii="Calibri" w:eastAsia="Calibri" w:hAnsi="Calibri" w:cs="Times New Roman"/>
        </w:rPr>
      </w:pPr>
    </w:p>
    <w:p w14:paraId="56EE5657" w14:textId="77777777" w:rsidR="00AF75E4" w:rsidRPr="0053311E" w:rsidRDefault="002F3C09" w:rsidP="001947EC">
      <w:pPr>
        <w:pStyle w:val="Heading2"/>
        <w:numPr>
          <w:ilvl w:val="0"/>
          <w:numId w:val="37"/>
        </w:numPr>
      </w:pPr>
      <w:bookmarkStart w:id="9" w:name="_Toc376952250"/>
      <w:r w:rsidRPr="0053311E">
        <w:t>Digipööre elukestvas õppes</w:t>
      </w:r>
      <w:bookmarkEnd w:id="9"/>
      <w:r w:rsidR="00AF75E4" w:rsidRPr="0053311E">
        <w:tab/>
      </w:r>
      <w:r w:rsidR="00AF75E4" w:rsidRPr="0053311E">
        <w:tab/>
      </w:r>
      <w:r w:rsidR="00AF75E4" w:rsidRPr="0053311E">
        <w:tab/>
      </w:r>
      <w:r w:rsidR="00AF75E4" w:rsidRPr="0053311E">
        <w:tab/>
      </w:r>
    </w:p>
    <w:p w14:paraId="56EE5658" w14:textId="77777777" w:rsidR="00AF75E4" w:rsidRPr="001E4E63" w:rsidRDefault="00AF75E4" w:rsidP="000A3254">
      <w:pPr>
        <w:pStyle w:val="BodyText"/>
        <w:spacing w:after="240" w:line="276" w:lineRule="auto"/>
        <w:jc w:val="both"/>
        <w:rPr>
          <w:rFonts w:asciiTheme="minorHAnsi" w:hAnsiTheme="minorHAnsi"/>
          <w:sz w:val="22"/>
          <w:szCs w:val="22"/>
        </w:rPr>
      </w:pPr>
      <w:r w:rsidRPr="001E4E63">
        <w:rPr>
          <w:rFonts w:asciiTheme="minorHAnsi" w:hAnsiTheme="minorHAnsi"/>
          <w:sz w:val="22"/>
          <w:szCs w:val="22"/>
        </w:rPr>
        <w:t xml:space="preserve">Uue põlvkonna digitaristu (isiklikud </w:t>
      </w:r>
      <w:r>
        <w:rPr>
          <w:rFonts w:asciiTheme="minorHAnsi" w:hAnsiTheme="minorHAnsi"/>
          <w:sz w:val="22"/>
          <w:szCs w:val="22"/>
        </w:rPr>
        <w:t>digiseadmed</w:t>
      </w:r>
      <w:r w:rsidRPr="001E4E63">
        <w:rPr>
          <w:rFonts w:asciiTheme="minorHAnsi" w:hAnsiTheme="minorHAnsi"/>
          <w:sz w:val="22"/>
          <w:szCs w:val="22"/>
        </w:rPr>
        <w:t xml:space="preserve">, </w:t>
      </w:r>
      <w:r>
        <w:rPr>
          <w:rFonts w:asciiTheme="minorHAnsi" w:hAnsiTheme="minorHAnsi"/>
          <w:sz w:val="22"/>
          <w:szCs w:val="22"/>
        </w:rPr>
        <w:t xml:space="preserve">kooli digitaristu, </w:t>
      </w:r>
      <w:r w:rsidRPr="001E4E63">
        <w:rPr>
          <w:rFonts w:asciiTheme="minorHAnsi" w:hAnsiTheme="minorHAnsi"/>
          <w:sz w:val="22"/>
          <w:szCs w:val="22"/>
        </w:rPr>
        <w:t>koosvõimelised infosüsteemid, veebiteenused, pilvelahendused, avaandmed) ja selle kasutamise metoodikad loovad võimaluse uue õpikäsituse kiireks juurutamiseks ning õppekvaliteedi tõusuks. Digi</w:t>
      </w:r>
      <w:r w:rsidR="00E21F75">
        <w:rPr>
          <w:rFonts w:asciiTheme="minorHAnsi" w:hAnsiTheme="minorHAnsi"/>
          <w:sz w:val="22"/>
          <w:szCs w:val="22"/>
        </w:rPr>
        <w:t xml:space="preserve">taalse </w:t>
      </w:r>
      <w:r w:rsidRPr="001E4E63">
        <w:rPr>
          <w:rFonts w:asciiTheme="minorHAnsi" w:hAnsiTheme="minorHAnsi"/>
          <w:sz w:val="22"/>
          <w:szCs w:val="22"/>
        </w:rPr>
        <w:t xml:space="preserve">õppevara kasutamine õppetöös aitab õppimist köitvamaks muuta ning avardab elukestva õppe võimalusi. Kogu elanikkonna parem tehnoloogia kasutamise oskus ja innovaatilisus aitavad kaasa tootlikkuse kasvule majanduses. </w:t>
      </w:r>
    </w:p>
    <w:p w14:paraId="56EE5659" w14:textId="77777777" w:rsidR="00AF75E4" w:rsidRPr="001E4E63" w:rsidRDefault="00AF75E4" w:rsidP="000A3254">
      <w:pPr>
        <w:pStyle w:val="BodyText"/>
        <w:spacing w:after="240" w:line="276" w:lineRule="auto"/>
        <w:jc w:val="both"/>
        <w:rPr>
          <w:rFonts w:asciiTheme="minorHAnsi" w:hAnsiTheme="minorHAnsi"/>
          <w:color w:val="1F497D" w:themeColor="text2"/>
          <w:szCs w:val="24"/>
        </w:rPr>
      </w:pPr>
      <w:r w:rsidRPr="001E4E63">
        <w:rPr>
          <w:rFonts w:asciiTheme="minorHAnsi" w:hAnsiTheme="minorHAnsi"/>
          <w:b/>
          <w:sz w:val="22"/>
          <w:szCs w:val="22"/>
        </w:rPr>
        <w:t xml:space="preserve">Eesmärk on </w:t>
      </w:r>
      <w:r w:rsidR="00E51D17">
        <w:rPr>
          <w:rFonts w:asciiTheme="minorHAnsi" w:hAnsiTheme="minorHAnsi"/>
          <w:b/>
          <w:sz w:val="22"/>
          <w:szCs w:val="22"/>
        </w:rPr>
        <w:t xml:space="preserve">rakendada õppimisel ja õpetamisel </w:t>
      </w:r>
      <w:r w:rsidRPr="001E4E63">
        <w:rPr>
          <w:rFonts w:asciiTheme="minorHAnsi" w:hAnsiTheme="minorHAnsi"/>
          <w:b/>
          <w:sz w:val="22"/>
          <w:szCs w:val="22"/>
        </w:rPr>
        <w:t>kaasaegse</w:t>
      </w:r>
      <w:r w:rsidR="00E51D17">
        <w:rPr>
          <w:rFonts w:asciiTheme="minorHAnsi" w:hAnsiTheme="minorHAnsi"/>
          <w:b/>
          <w:sz w:val="22"/>
          <w:szCs w:val="22"/>
        </w:rPr>
        <w:t>t</w:t>
      </w:r>
      <w:r w:rsidRPr="001E4E63">
        <w:rPr>
          <w:rFonts w:asciiTheme="minorHAnsi" w:hAnsiTheme="minorHAnsi"/>
          <w:b/>
          <w:sz w:val="22"/>
          <w:szCs w:val="22"/>
        </w:rPr>
        <w:t xml:space="preserve"> digitehnoloogia</w:t>
      </w:r>
      <w:r w:rsidR="00E51D17">
        <w:rPr>
          <w:rFonts w:asciiTheme="minorHAnsi" w:hAnsiTheme="minorHAnsi"/>
          <w:b/>
          <w:sz w:val="22"/>
          <w:szCs w:val="22"/>
        </w:rPr>
        <w:t>t</w:t>
      </w:r>
      <w:r w:rsidRPr="001E4E63">
        <w:rPr>
          <w:rFonts w:asciiTheme="minorHAnsi" w:hAnsiTheme="minorHAnsi"/>
          <w:b/>
          <w:sz w:val="22"/>
          <w:szCs w:val="22"/>
        </w:rPr>
        <w:t xml:space="preserve"> otstarbekam</w:t>
      </w:r>
      <w:r w:rsidR="00E51D17">
        <w:rPr>
          <w:rFonts w:asciiTheme="minorHAnsi" w:hAnsiTheme="minorHAnsi"/>
          <w:b/>
          <w:sz w:val="22"/>
          <w:szCs w:val="22"/>
        </w:rPr>
        <w:t>alt</w:t>
      </w:r>
      <w:r w:rsidRPr="001E4E63">
        <w:rPr>
          <w:rFonts w:asciiTheme="minorHAnsi" w:hAnsiTheme="minorHAnsi"/>
          <w:b/>
          <w:sz w:val="22"/>
          <w:szCs w:val="22"/>
        </w:rPr>
        <w:t xml:space="preserve"> ja tulemuslikum</w:t>
      </w:r>
      <w:r w:rsidR="00E51D17">
        <w:rPr>
          <w:rFonts w:asciiTheme="minorHAnsi" w:hAnsiTheme="minorHAnsi"/>
          <w:b/>
          <w:sz w:val="22"/>
          <w:szCs w:val="22"/>
        </w:rPr>
        <w:t>alt</w:t>
      </w:r>
      <w:r w:rsidRPr="001E4E63">
        <w:rPr>
          <w:rFonts w:asciiTheme="minorHAnsi" w:hAnsiTheme="minorHAnsi"/>
          <w:b/>
          <w:sz w:val="22"/>
          <w:szCs w:val="22"/>
        </w:rPr>
        <w:t>,</w:t>
      </w:r>
      <w:r w:rsidR="00E51D17">
        <w:rPr>
          <w:rFonts w:asciiTheme="minorHAnsi" w:hAnsiTheme="minorHAnsi"/>
          <w:b/>
          <w:sz w:val="22"/>
          <w:szCs w:val="22"/>
        </w:rPr>
        <w:t xml:space="preserve"> parandada</w:t>
      </w:r>
      <w:r w:rsidRPr="001E4E63">
        <w:rPr>
          <w:rFonts w:asciiTheme="minorHAnsi" w:hAnsiTheme="minorHAnsi"/>
          <w:b/>
          <w:sz w:val="22"/>
          <w:szCs w:val="22"/>
        </w:rPr>
        <w:t xml:space="preserve"> kogu elanikkonna </w:t>
      </w:r>
      <w:r w:rsidR="00E51D17" w:rsidRPr="001E4E63">
        <w:rPr>
          <w:rFonts w:asciiTheme="minorHAnsi" w:hAnsiTheme="minorHAnsi"/>
          <w:b/>
          <w:sz w:val="22"/>
          <w:szCs w:val="22"/>
        </w:rPr>
        <w:t>digioskus</w:t>
      </w:r>
      <w:r w:rsidR="00E51D17">
        <w:rPr>
          <w:rFonts w:asciiTheme="minorHAnsi" w:hAnsiTheme="minorHAnsi"/>
          <w:b/>
          <w:sz w:val="22"/>
          <w:szCs w:val="22"/>
        </w:rPr>
        <w:t>i</w:t>
      </w:r>
      <w:r w:rsidR="00E51D17" w:rsidRPr="001E4E63">
        <w:rPr>
          <w:rFonts w:asciiTheme="minorHAnsi" w:hAnsiTheme="minorHAnsi"/>
          <w:b/>
          <w:sz w:val="22"/>
          <w:szCs w:val="22"/>
        </w:rPr>
        <w:t xml:space="preserve"> </w:t>
      </w:r>
      <w:r w:rsidRPr="001E4E63">
        <w:rPr>
          <w:rFonts w:asciiTheme="minorHAnsi" w:hAnsiTheme="minorHAnsi"/>
          <w:b/>
          <w:sz w:val="22"/>
          <w:szCs w:val="22"/>
        </w:rPr>
        <w:t xml:space="preserve">ning </w:t>
      </w:r>
      <w:r w:rsidR="00E51D17">
        <w:rPr>
          <w:rFonts w:asciiTheme="minorHAnsi" w:hAnsiTheme="minorHAnsi"/>
          <w:b/>
          <w:sz w:val="22"/>
          <w:szCs w:val="22"/>
        </w:rPr>
        <w:t xml:space="preserve">tagada </w:t>
      </w:r>
      <w:r w:rsidRPr="001E4E63">
        <w:rPr>
          <w:rFonts w:asciiTheme="minorHAnsi" w:hAnsiTheme="minorHAnsi"/>
          <w:b/>
          <w:sz w:val="22"/>
          <w:szCs w:val="22"/>
        </w:rPr>
        <w:t>ligipääs uue põlvkonna digitaristule.</w:t>
      </w:r>
      <w:r w:rsidRPr="001E4E63">
        <w:rPr>
          <w:rFonts w:asciiTheme="minorHAnsi" w:hAnsiTheme="minorHAnsi"/>
          <w:sz w:val="22"/>
          <w:szCs w:val="22"/>
        </w:rPr>
        <w:t xml:space="preserve"> </w:t>
      </w:r>
    </w:p>
    <w:p w14:paraId="56EE565A" w14:textId="77777777" w:rsidR="00AF75E4" w:rsidRPr="00937147" w:rsidRDefault="00AF75E4" w:rsidP="000A3254">
      <w:pPr>
        <w:spacing w:after="240" w:line="360" w:lineRule="auto"/>
        <w:rPr>
          <w:b/>
          <w:color w:val="1F497D" w:themeColor="text2"/>
          <w:sz w:val="24"/>
          <w:szCs w:val="24"/>
        </w:rPr>
      </w:pPr>
      <w:r w:rsidRPr="00937147">
        <w:rPr>
          <w:b/>
          <w:color w:val="1F497D" w:themeColor="text2"/>
          <w:sz w:val="24"/>
          <w:szCs w:val="24"/>
        </w:rPr>
        <w:t>Strateegilised meetmed</w:t>
      </w:r>
    </w:p>
    <w:p w14:paraId="56EE565B" w14:textId="77777777" w:rsidR="00F32922" w:rsidRDefault="00CD711D" w:rsidP="000A3254">
      <w:pPr>
        <w:spacing w:after="240"/>
        <w:jc w:val="both"/>
      </w:pPr>
      <w:r>
        <w:rPr>
          <w:b/>
        </w:rPr>
        <w:t xml:space="preserve">4.1. </w:t>
      </w:r>
      <w:r w:rsidRPr="001E4E63">
        <w:rPr>
          <w:b/>
        </w:rPr>
        <w:t>Digikultuuri integreerimine õppeprotsessi</w:t>
      </w:r>
      <w:r>
        <w:rPr>
          <w:b/>
        </w:rPr>
        <w:t xml:space="preserve"> kõigil haridustasemetel</w:t>
      </w:r>
      <w:r w:rsidR="00B961D6">
        <w:rPr>
          <w:b/>
        </w:rPr>
        <w:t xml:space="preserve"> ja kõigis õppekavades</w:t>
      </w:r>
      <w:r w:rsidR="00F32922">
        <w:t>.</w:t>
      </w:r>
      <w:r w:rsidR="00F32922" w:rsidRPr="001E4E63">
        <w:t xml:space="preserve"> </w:t>
      </w:r>
      <w:r w:rsidRPr="001E4E63">
        <w:t xml:space="preserve">Tehnoloogilisest innovatsioonist inspireeritud pedagoogiline ja koolikorralduslik haridusuuendus peab toimima süstemaatiliselt, selle eelduseks on haridustehnoloogilise toe tagamine juhtkonnale, õpetajatele ja õppijatele kõigis õppeasutustes. </w:t>
      </w:r>
    </w:p>
    <w:p w14:paraId="56EE565C" w14:textId="77777777" w:rsidR="00CD711D" w:rsidRPr="00632CE3" w:rsidRDefault="00F32922" w:rsidP="000A3254">
      <w:pPr>
        <w:spacing w:after="240"/>
        <w:jc w:val="both"/>
      </w:pPr>
      <w:r>
        <w:t>Vajalikud</w:t>
      </w:r>
      <w:r w:rsidRPr="00632CE3">
        <w:t xml:space="preserve"> </w:t>
      </w:r>
      <w:r w:rsidR="00CD711D" w:rsidRPr="00632CE3">
        <w:t>tegevused:</w:t>
      </w:r>
    </w:p>
    <w:p w14:paraId="56EE565D" w14:textId="77777777" w:rsidR="0003471F" w:rsidRDefault="0003471F" w:rsidP="00CD711D">
      <w:pPr>
        <w:pStyle w:val="ListParagraph"/>
        <w:numPr>
          <w:ilvl w:val="0"/>
          <w:numId w:val="8"/>
        </w:numPr>
        <w:jc w:val="both"/>
      </w:pPr>
      <w:r>
        <w:t xml:space="preserve">põhikooli, gümnaasiumi ja kutsehariduse õppekavades uuendatakse </w:t>
      </w:r>
      <w:r w:rsidRPr="00224E11">
        <w:t>informaatikaõpetust</w:t>
      </w:r>
      <w:r w:rsidRPr="00632CE3">
        <w:t xml:space="preserve">, et tagada </w:t>
      </w:r>
      <w:r>
        <w:t xml:space="preserve">koolilõpetajatele </w:t>
      </w:r>
      <w:r w:rsidRPr="00632CE3">
        <w:t>digioskuste baastase</w:t>
      </w:r>
      <w:r>
        <w:t>;</w:t>
      </w:r>
    </w:p>
    <w:p w14:paraId="56EE565E" w14:textId="77777777" w:rsidR="0003471F" w:rsidRDefault="0003471F" w:rsidP="00CD711D">
      <w:pPr>
        <w:pStyle w:val="ListParagraph"/>
        <w:numPr>
          <w:ilvl w:val="0"/>
          <w:numId w:val="8"/>
        </w:numPr>
        <w:jc w:val="both"/>
      </w:pPr>
      <w:r>
        <w:t>kutsestandardites kehtestatakse erialaste IKT pädevuste standardid;</w:t>
      </w:r>
    </w:p>
    <w:p w14:paraId="56EE565F" w14:textId="77777777" w:rsidR="00CD711D" w:rsidRDefault="004116D2" w:rsidP="00CD711D">
      <w:pPr>
        <w:pStyle w:val="ListParagraph"/>
        <w:numPr>
          <w:ilvl w:val="0"/>
          <w:numId w:val="8"/>
        </w:numPr>
        <w:jc w:val="both"/>
      </w:pPr>
      <w:r>
        <w:t>k</w:t>
      </w:r>
      <w:r w:rsidR="00CD711D">
        <w:t>avandatakse ja toetatakse uuendus</w:t>
      </w:r>
      <w:r w:rsidR="003840B0">
        <w:t>l</w:t>
      </w:r>
      <w:r w:rsidR="00CD711D">
        <w:t>ikke projekte ja programme, mis võimaldavad kaasaegsel viisil oskusi omandada ja arendada</w:t>
      </w:r>
      <w:r>
        <w:t>,</w:t>
      </w:r>
      <w:r w:rsidR="00CD711D">
        <w:t xml:space="preserve"> </w:t>
      </w:r>
      <w:r>
        <w:t xml:space="preserve">nende </w:t>
      </w:r>
      <w:r w:rsidR="00CD711D">
        <w:t>tulemustest lähtutakse   õppekavaarenduses ja õppekavade rakendamisel</w:t>
      </w:r>
      <w:r>
        <w:t xml:space="preserve">;  </w:t>
      </w:r>
    </w:p>
    <w:p w14:paraId="56EE5660" w14:textId="77777777" w:rsidR="00CD711D" w:rsidRPr="00386808" w:rsidRDefault="004116D2" w:rsidP="00CD711D">
      <w:pPr>
        <w:pStyle w:val="ListParagraph"/>
        <w:numPr>
          <w:ilvl w:val="0"/>
          <w:numId w:val="8"/>
        </w:numPr>
        <w:jc w:val="both"/>
      </w:pPr>
      <w:r>
        <w:t>õ</w:t>
      </w:r>
      <w:r w:rsidR="00CD711D" w:rsidRPr="00386808">
        <w:t>petajate</w:t>
      </w:r>
      <w:r w:rsidR="00CD711D">
        <w:t xml:space="preserve"> ja õppejõudude</w:t>
      </w:r>
      <w:r w:rsidR="00CD711D" w:rsidRPr="00386808">
        <w:t xml:space="preserve"> digipädevus</w:t>
      </w:r>
      <w:r w:rsidR="002B092D">
        <w:t>te arendamiseks pakutakse</w:t>
      </w:r>
      <w:r w:rsidR="00CD711D" w:rsidRPr="00386808">
        <w:t xml:space="preserve"> koolitus</w:t>
      </w:r>
      <w:r w:rsidR="002B092D">
        <w:t>i ning töötatakse välja</w:t>
      </w:r>
      <w:r w:rsidR="00CD711D" w:rsidRPr="00386808">
        <w:t xml:space="preserve"> juhendmaterjal</w:t>
      </w:r>
      <w:r w:rsidR="002B092D">
        <w:t>e digitehnoloogia integreerimiseks õppeprotsessi</w:t>
      </w:r>
      <w:r>
        <w:t>;</w:t>
      </w:r>
      <w:r w:rsidRPr="00386808">
        <w:t xml:space="preserve"> </w:t>
      </w:r>
    </w:p>
    <w:p w14:paraId="56EE5661" w14:textId="77777777" w:rsidR="00CD711D" w:rsidRDefault="004116D2" w:rsidP="00CD711D">
      <w:pPr>
        <w:pStyle w:val="ListParagraph"/>
        <w:numPr>
          <w:ilvl w:val="0"/>
          <w:numId w:val="8"/>
        </w:numPr>
        <w:jc w:val="both"/>
      </w:pPr>
      <w:r>
        <w:t>ü</w:t>
      </w:r>
      <w:r w:rsidR="00CD711D" w:rsidRPr="000679AA">
        <w:t>likoolide juures olevad didaktikakeskused</w:t>
      </w:r>
      <w:r w:rsidR="00CD711D" w:rsidRPr="00EA5114">
        <w:rPr>
          <w:b/>
        </w:rPr>
        <w:t xml:space="preserve"> </w:t>
      </w:r>
      <w:r w:rsidR="00CD711D" w:rsidRPr="00EA5114">
        <w:t>levit</w:t>
      </w:r>
      <w:r w:rsidR="00CD711D" w:rsidRPr="00134133">
        <w:t>avad häid praktikanäiteid, toetavad digi-innovatsiooni koolides ning õpetajate</w:t>
      </w:r>
      <w:r w:rsidR="00CD711D">
        <w:t>,</w:t>
      </w:r>
      <w:r w:rsidR="00CD711D" w:rsidRPr="00134133">
        <w:t xml:space="preserve"> </w:t>
      </w:r>
      <w:r w:rsidR="00CD711D">
        <w:t>õppejõudude</w:t>
      </w:r>
      <w:r w:rsidR="00CD711D" w:rsidRPr="00134133">
        <w:t xml:space="preserve"> ja koolide innovatsioonivõrgustikke</w:t>
      </w:r>
      <w:r>
        <w:t>;</w:t>
      </w:r>
    </w:p>
    <w:p w14:paraId="56EE5662" w14:textId="77777777" w:rsidR="00144FE5" w:rsidRDefault="00144FE5" w:rsidP="00CD711D">
      <w:pPr>
        <w:pStyle w:val="ListParagraph"/>
        <w:numPr>
          <w:ilvl w:val="0"/>
          <w:numId w:val="8"/>
        </w:numPr>
        <w:jc w:val="both"/>
      </w:pPr>
      <w:r>
        <w:t>õpetajatele ja õppejõududele tagatakse haridustehnoloogiline tugi, et digiajastu võimalusi õppetöös paremini ära kasutada.</w:t>
      </w:r>
    </w:p>
    <w:p w14:paraId="56EE5663" w14:textId="77777777" w:rsidR="00CD711D" w:rsidRPr="00134133" w:rsidRDefault="00CD711D" w:rsidP="00144FE5">
      <w:pPr>
        <w:pStyle w:val="ListParagraph"/>
        <w:spacing w:after="240"/>
        <w:ind w:left="0"/>
        <w:jc w:val="both"/>
      </w:pPr>
    </w:p>
    <w:p w14:paraId="56EE5664" w14:textId="77777777" w:rsidR="00CD711D" w:rsidRPr="001E4E63" w:rsidRDefault="00CD711D" w:rsidP="000A3254">
      <w:pPr>
        <w:pStyle w:val="ListParagraph"/>
        <w:spacing w:after="240"/>
        <w:ind w:left="0"/>
        <w:jc w:val="both"/>
      </w:pPr>
      <w:r w:rsidRPr="00764728">
        <w:rPr>
          <w:b/>
        </w:rPr>
        <w:t>4.2.</w:t>
      </w:r>
      <w:r w:rsidRPr="001E4E63">
        <w:t xml:space="preserve"> Tagatakse põhikooli, gümnaasiumi ja kutseõppeasutuse õppekava</w:t>
      </w:r>
      <w:r>
        <w:t xml:space="preserve">s seatud eesmärkide ning õpitulemuste saavutamist toetava </w:t>
      </w:r>
      <w:r w:rsidRPr="001E4E63">
        <w:t xml:space="preserve"> </w:t>
      </w:r>
      <w:r w:rsidRPr="001E4E63">
        <w:rPr>
          <w:b/>
        </w:rPr>
        <w:t>digitaal</w:t>
      </w:r>
      <w:r>
        <w:rPr>
          <w:b/>
        </w:rPr>
        <w:t>s</w:t>
      </w:r>
      <w:r w:rsidRPr="001E4E63">
        <w:rPr>
          <w:b/>
        </w:rPr>
        <w:t>e õppevara</w:t>
      </w:r>
      <w:r>
        <w:rPr>
          <w:b/>
        </w:rPr>
        <w:t xml:space="preserve"> olemasolu</w:t>
      </w:r>
      <w:r w:rsidRPr="001E4E63">
        <w:t xml:space="preserve">, mille hulka kuuluvad e-õpikud, </w:t>
      </w:r>
      <w:r>
        <w:t xml:space="preserve">e-töövihikud, </w:t>
      </w:r>
      <w:r w:rsidRPr="001E4E63">
        <w:t>avatud õppematerjalid</w:t>
      </w:r>
      <w:r w:rsidR="006A35FE">
        <w:t>, e-õpetajaraamatud</w:t>
      </w:r>
      <w:r w:rsidR="00007174">
        <w:t xml:space="preserve"> </w:t>
      </w:r>
      <w:r w:rsidRPr="001E4E63">
        <w:t xml:space="preserve">ning veebipõhised </w:t>
      </w:r>
      <w:r>
        <w:t>hindamisvahendid</w:t>
      </w:r>
      <w:r w:rsidRPr="001E4E63">
        <w:t xml:space="preserve">. </w:t>
      </w:r>
    </w:p>
    <w:p w14:paraId="56EE5665" w14:textId="77777777" w:rsidR="00144FE5" w:rsidRDefault="00144FE5" w:rsidP="00144FE5">
      <w:pPr>
        <w:pStyle w:val="ListParagraph"/>
        <w:spacing w:before="240"/>
        <w:ind w:left="0"/>
        <w:jc w:val="both"/>
      </w:pPr>
    </w:p>
    <w:p w14:paraId="56EE5666" w14:textId="77777777" w:rsidR="00CD711D" w:rsidRPr="001E4E63" w:rsidRDefault="00F32922" w:rsidP="00144FE5">
      <w:pPr>
        <w:pStyle w:val="ListParagraph"/>
        <w:spacing w:before="240"/>
        <w:ind w:left="0"/>
        <w:jc w:val="both"/>
      </w:pPr>
      <w:r>
        <w:t>Vajaliku</w:t>
      </w:r>
      <w:r w:rsidRPr="001E4E63">
        <w:t xml:space="preserve">d </w:t>
      </w:r>
      <w:r w:rsidR="00CD711D" w:rsidRPr="001E4E63">
        <w:t xml:space="preserve">tegevused: </w:t>
      </w:r>
    </w:p>
    <w:p w14:paraId="56EE5667" w14:textId="77777777" w:rsidR="00CD711D" w:rsidRPr="001E4E63" w:rsidRDefault="00382716" w:rsidP="00144FE5">
      <w:pPr>
        <w:pStyle w:val="ListParagraph"/>
        <w:numPr>
          <w:ilvl w:val="0"/>
          <w:numId w:val="24"/>
        </w:numPr>
        <w:spacing w:before="240"/>
        <w:jc w:val="both"/>
      </w:pPr>
      <w:r>
        <w:t>l</w:t>
      </w:r>
      <w:r w:rsidR="002B092D">
        <w:t xml:space="preserve">uuakse süsteem koosvõimelistest tarkvaralahendustest, mis toetavad õppevara koostamist, hindamist, säilitamist, levitamist ja õppetöös kasutamist. Selle süsteemi kaudu muudetakse digitaalne õppevara õppijatele ja õpetajatele süsteemselt ning kasutajasõbralikult kättesaadavaks. Tagatakse </w:t>
      </w:r>
      <w:r w:rsidR="007A45BC">
        <w:t xml:space="preserve">süsteemi </w:t>
      </w:r>
      <w:r w:rsidR="002B092D">
        <w:t>a</w:t>
      </w:r>
      <w:r w:rsidR="00007174">
        <w:t>dministreerimine ja kasutajatug</w:t>
      </w:r>
      <w:r w:rsidR="004816D4">
        <w:t>i</w:t>
      </w:r>
      <w:r w:rsidR="004116D2">
        <w:t xml:space="preserve">; </w:t>
      </w:r>
    </w:p>
    <w:p w14:paraId="56EE5668" w14:textId="77777777" w:rsidR="00CD711D" w:rsidRDefault="00CD711D" w:rsidP="00553AD8">
      <w:pPr>
        <w:pStyle w:val="ListParagraph"/>
        <w:numPr>
          <w:ilvl w:val="0"/>
          <w:numId w:val="24"/>
        </w:numPr>
        <w:jc w:val="both"/>
      </w:pPr>
      <w:r w:rsidRPr="001E4E63">
        <w:t xml:space="preserve">Haridus- ja Teadusministeerium </w:t>
      </w:r>
      <w:r w:rsidR="00523F34">
        <w:t>kehtestab e-õppevara kvaliteedi</w:t>
      </w:r>
      <w:r w:rsidR="00523F34" w:rsidRPr="005C6177">
        <w:t>nõu</w:t>
      </w:r>
      <w:r w:rsidR="00523F34">
        <w:t>ded</w:t>
      </w:r>
      <w:r w:rsidR="00553AD8">
        <w:t xml:space="preserve"> </w:t>
      </w:r>
      <w:r w:rsidR="00553AD8" w:rsidRPr="00553AD8">
        <w:t xml:space="preserve">(arvestades sh </w:t>
      </w:r>
      <w:r w:rsidR="00007174">
        <w:t>puuete</w:t>
      </w:r>
      <w:r w:rsidR="002533D2">
        <w:t>ga</w:t>
      </w:r>
      <w:r w:rsidR="00553AD8" w:rsidRPr="00553AD8">
        <w:t xml:space="preserve"> inimeste</w:t>
      </w:r>
      <w:r w:rsidR="00007174">
        <w:t xml:space="preserve"> vajadusi</w:t>
      </w:r>
      <w:r w:rsidR="00553AD8" w:rsidRPr="00553AD8">
        <w:t>)</w:t>
      </w:r>
      <w:r w:rsidR="00523F34">
        <w:t>, loob tingimused koolituste korraldamiseks ning juhendmaterjalide koos</w:t>
      </w:r>
      <w:r w:rsidR="00652E12">
        <w:t>tamiseks e-õppevara autoritele;</w:t>
      </w:r>
    </w:p>
    <w:p w14:paraId="56EE5669" w14:textId="77777777" w:rsidR="00CD711D" w:rsidRPr="001E4E63" w:rsidRDefault="00E3612B" w:rsidP="00144FE5">
      <w:pPr>
        <w:pStyle w:val="ListParagraph"/>
        <w:numPr>
          <w:ilvl w:val="0"/>
          <w:numId w:val="24"/>
        </w:numPr>
        <w:jc w:val="both"/>
      </w:pPr>
      <w:r>
        <w:t>toetatakse e-õppevarale ülemineku pilootprojekte</w:t>
      </w:r>
      <w:r w:rsidR="002B092D">
        <w:t xml:space="preserve"> õppeasutustes</w:t>
      </w:r>
      <w:r>
        <w:t xml:space="preserve"> ning levitatakse parimaid praktikaid. </w:t>
      </w:r>
    </w:p>
    <w:p w14:paraId="56EE566A" w14:textId="77777777" w:rsidR="00CD711D" w:rsidRDefault="00CD711D" w:rsidP="00144FE5">
      <w:pPr>
        <w:pStyle w:val="ListParagraph"/>
        <w:ind w:left="0"/>
        <w:jc w:val="both"/>
        <w:rPr>
          <w:b/>
        </w:rPr>
      </w:pPr>
    </w:p>
    <w:p w14:paraId="56EE566B" w14:textId="77777777" w:rsidR="00CD711D" w:rsidRPr="001E4E63" w:rsidRDefault="00CD711D" w:rsidP="00144FE5">
      <w:pPr>
        <w:pStyle w:val="ListParagraph"/>
        <w:ind w:left="0"/>
        <w:jc w:val="both"/>
      </w:pPr>
      <w:r>
        <w:rPr>
          <w:b/>
        </w:rPr>
        <w:t>4.</w:t>
      </w:r>
      <w:r w:rsidRPr="001E4E63">
        <w:rPr>
          <w:b/>
        </w:rPr>
        <w:t xml:space="preserve">3. Igale </w:t>
      </w:r>
      <w:r w:rsidRPr="00640916">
        <w:rPr>
          <w:b/>
        </w:rPr>
        <w:t>üldharidus-, kutse</w:t>
      </w:r>
      <w:r w:rsidR="006E71FF">
        <w:rPr>
          <w:b/>
        </w:rPr>
        <w:t>-</w:t>
      </w:r>
      <w:r w:rsidRPr="00640916">
        <w:rPr>
          <w:b/>
        </w:rPr>
        <w:t xml:space="preserve"> ja kõrgkoolis</w:t>
      </w:r>
      <w:r>
        <w:t xml:space="preserve"> </w:t>
      </w:r>
      <w:r w:rsidRPr="001E4E63">
        <w:rPr>
          <w:b/>
        </w:rPr>
        <w:t xml:space="preserve">õppijale tagatakse </w:t>
      </w:r>
      <w:r>
        <w:rPr>
          <w:b/>
        </w:rPr>
        <w:t>juurde</w:t>
      </w:r>
      <w:r w:rsidRPr="001E4E63">
        <w:rPr>
          <w:b/>
        </w:rPr>
        <w:t xml:space="preserve">pääs õppimist toetavale kaasaegsele digitaristule. </w:t>
      </w:r>
      <w:r w:rsidRPr="001E4E63">
        <w:t xml:space="preserve">Ambitsioonikaks eesmärgiks on, et </w:t>
      </w:r>
      <w:r>
        <w:t xml:space="preserve">e-õppevara arendus ning tehnoloogia areng võimaldavad lähitulevikus kõigil õpilastel ja õpetajatel kooli digitaristu kõrval kasutada igapäevases õppetöös ka isiklikke digiseadmeid ning </w:t>
      </w:r>
      <w:r w:rsidRPr="001E4E63">
        <w:t xml:space="preserve">riigi, omavalitsuse ja kooli tasandi koosvõimelised infosüsteemid  ja </w:t>
      </w:r>
      <w:r>
        <w:t>-</w:t>
      </w:r>
      <w:r w:rsidRPr="001E4E63">
        <w:t>teenused on kättesaadav</w:t>
      </w:r>
      <w:r>
        <w:t>ad</w:t>
      </w:r>
      <w:r w:rsidRPr="001E4E63">
        <w:t xml:space="preserve">  igale õppijale.</w:t>
      </w:r>
    </w:p>
    <w:p w14:paraId="56EE566C" w14:textId="77777777" w:rsidR="00144FE5" w:rsidRDefault="00144FE5" w:rsidP="00A338F5">
      <w:pPr>
        <w:pStyle w:val="ListParagraph"/>
        <w:ind w:left="0"/>
        <w:jc w:val="both"/>
      </w:pPr>
    </w:p>
    <w:p w14:paraId="56EE566D" w14:textId="77777777" w:rsidR="00CD711D" w:rsidRPr="001E4E63" w:rsidRDefault="00F32922" w:rsidP="00A338F5">
      <w:pPr>
        <w:pStyle w:val="ListParagraph"/>
        <w:ind w:left="0"/>
        <w:jc w:val="both"/>
      </w:pPr>
      <w:r>
        <w:t>Vajaliku</w:t>
      </w:r>
      <w:r w:rsidRPr="001E4E63">
        <w:t xml:space="preserve">d </w:t>
      </w:r>
      <w:r w:rsidR="00CD711D" w:rsidRPr="001E4E63">
        <w:t xml:space="preserve">tegevused: </w:t>
      </w:r>
      <w:r w:rsidR="00CD711D">
        <w:t xml:space="preserve"> </w:t>
      </w:r>
    </w:p>
    <w:p w14:paraId="56EE566E" w14:textId="77777777" w:rsidR="00091625" w:rsidRPr="001E4E63" w:rsidRDefault="00382716" w:rsidP="00091625">
      <w:pPr>
        <w:pStyle w:val="ListParagraph"/>
        <w:numPr>
          <w:ilvl w:val="0"/>
          <w:numId w:val="24"/>
        </w:numPr>
        <w:jc w:val="both"/>
      </w:pPr>
      <w:r>
        <w:t>k</w:t>
      </w:r>
      <w:r w:rsidR="00091625">
        <w:t xml:space="preserve">ooli digitaristule kehtestatakse standardid ja miinimumnõuded, tagatakse koolide digitaristu </w:t>
      </w:r>
      <w:r w:rsidR="00872BFC">
        <w:t>järjepidev</w:t>
      </w:r>
      <w:r w:rsidR="007314FB">
        <w:t xml:space="preserve"> seire</w:t>
      </w:r>
      <w:r w:rsidR="00091625">
        <w:t xml:space="preserve">;  </w:t>
      </w:r>
    </w:p>
    <w:p w14:paraId="56EE566F" w14:textId="77777777" w:rsidR="00355734" w:rsidRDefault="00382716" w:rsidP="00B60BEF">
      <w:pPr>
        <w:pStyle w:val="ListParagraph"/>
        <w:numPr>
          <w:ilvl w:val="0"/>
          <w:numId w:val="24"/>
        </w:numPr>
        <w:jc w:val="both"/>
      </w:pPr>
      <w:r>
        <w:t>k</w:t>
      </w:r>
      <w:r w:rsidR="00007174">
        <w:t>aasajastatakse k</w:t>
      </w:r>
      <w:r w:rsidR="00355734" w:rsidRPr="00B60BEF">
        <w:t xml:space="preserve">õigi </w:t>
      </w:r>
      <w:r w:rsidR="00355734">
        <w:t>koolide interneti sisevõr</w:t>
      </w:r>
      <w:r w:rsidR="00007174">
        <w:t>gud ja</w:t>
      </w:r>
      <w:r w:rsidR="00355734">
        <w:t xml:space="preserve"> </w:t>
      </w:r>
      <w:r w:rsidR="00007174">
        <w:t>luuakse võimalused kaasaegse esitlustehnik</w:t>
      </w:r>
      <w:r w:rsidR="00652E12">
        <w:t>a kasutuselevõtuks klassiruumis;</w:t>
      </w:r>
    </w:p>
    <w:p w14:paraId="56EE5670" w14:textId="77777777" w:rsidR="008347A4" w:rsidRDefault="00382716" w:rsidP="00B60BEF">
      <w:pPr>
        <w:pStyle w:val="ListParagraph"/>
        <w:numPr>
          <w:ilvl w:val="0"/>
          <w:numId w:val="24"/>
        </w:numPr>
        <w:jc w:val="both"/>
      </w:pPr>
      <w:r>
        <w:t>k</w:t>
      </w:r>
      <w:r w:rsidR="006E71FF">
        <w:t>oolipidaja tagab igale õpetajale isikliku digiseadme</w:t>
      </w:r>
      <w:r w:rsidR="00355734">
        <w:t xml:space="preserve"> kasutamise võimaluse;</w:t>
      </w:r>
    </w:p>
    <w:p w14:paraId="56EE5671" w14:textId="77777777" w:rsidR="00091625" w:rsidRPr="001E4E63" w:rsidRDefault="00382716" w:rsidP="00091625">
      <w:pPr>
        <w:pStyle w:val="ListParagraph"/>
        <w:numPr>
          <w:ilvl w:val="0"/>
          <w:numId w:val="24"/>
        </w:numPr>
        <w:jc w:val="both"/>
      </w:pPr>
      <w:r>
        <w:t>l</w:t>
      </w:r>
      <w:r w:rsidR="00091625">
        <w:t>uuakse ja rakendatakse h</w:t>
      </w:r>
      <w:r w:rsidR="00091625" w:rsidRPr="001E4E63">
        <w:t>ariduse infosüsteemide koosvõime raamistik</w:t>
      </w:r>
      <w:r w:rsidR="00091625">
        <w:t>, sellest lähtuvalt kohandatakse ja integreeritakse olemasolevad süsteemid</w:t>
      </w:r>
      <w:r w:rsidR="00091625" w:rsidRPr="001E4E63">
        <w:t xml:space="preserve"> (</w:t>
      </w:r>
      <w:r w:rsidR="00091625">
        <w:t xml:space="preserve">nt </w:t>
      </w:r>
      <w:r w:rsidR="00091625" w:rsidRPr="001E4E63">
        <w:t>EHIS, e-päevik</w:t>
      </w:r>
      <w:r w:rsidR="00091625">
        <w:t>, e-õppekeskkonnad, digiõppevara varamud, eksamite infosüsteem, digi</w:t>
      </w:r>
      <w:r w:rsidR="0095308E">
        <w:t>taal</w:t>
      </w:r>
      <w:r w:rsidR="00091625">
        <w:t>arhiivid</w:t>
      </w:r>
      <w:r w:rsidR="00091625" w:rsidRPr="001E4E63">
        <w:t>)</w:t>
      </w:r>
      <w:r w:rsidR="00091625">
        <w:t>;</w:t>
      </w:r>
    </w:p>
    <w:p w14:paraId="56EE5672" w14:textId="77777777" w:rsidR="00091625" w:rsidRDefault="00382716" w:rsidP="00091625">
      <w:pPr>
        <w:pStyle w:val="ListParagraph"/>
        <w:numPr>
          <w:ilvl w:val="0"/>
          <w:numId w:val="24"/>
        </w:numPr>
        <w:jc w:val="both"/>
      </w:pPr>
      <w:r>
        <w:t>a</w:t>
      </w:r>
      <w:r w:rsidR="00091625">
        <w:t>rendatakse õppija personaals</w:t>
      </w:r>
      <w:r w:rsidR="00091625" w:rsidRPr="0037587C">
        <w:t xml:space="preserve">e </w:t>
      </w:r>
      <w:r w:rsidR="00091625">
        <w:t>digi</w:t>
      </w:r>
      <w:r w:rsidR="00091625" w:rsidRPr="0037587C">
        <w:t>õpikeskkon</w:t>
      </w:r>
      <w:r w:rsidR="00091625">
        <w:t xml:space="preserve">na lahendused erinevat liiki digiseadmetele </w:t>
      </w:r>
      <w:r w:rsidR="00091625" w:rsidRPr="0037587C">
        <w:t>(nutitelefonid, süle- ja tahvelarvutid);</w:t>
      </w:r>
      <w:r w:rsidR="00091625">
        <w:t xml:space="preserve"> </w:t>
      </w:r>
    </w:p>
    <w:p w14:paraId="56EE5673" w14:textId="77777777" w:rsidR="00091625" w:rsidRDefault="00382716" w:rsidP="00F22D6A">
      <w:pPr>
        <w:pStyle w:val="ListParagraph"/>
        <w:numPr>
          <w:ilvl w:val="0"/>
          <w:numId w:val="24"/>
        </w:numPr>
        <w:jc w:val="both"/>
      </w:pPr>
      <w:r>
        <w:t>l</w:t>
      </w:r>
      <w:r w:rsidR="00091625">
        <w:t>uuakse vajaduspõhine toetussüsteem neile õppijaile, kel isikliku digiseadme soetamine käib üle jõu</w:t>
      </w:r>
      <w:r w:rsidR="00F22D6A">
        <w:t xml:space="preserve"> </w:t>
      </w:r>
      <w:r w:rsidR="00F22D6A" w:rsidRPr="00F22D6A">
        <w:t>või on</w:t>
      </w:r>
      <w:r w:rsidR="00F22D6A">
        <w:t xml:space="preserve"> puudest tulenev</w:t>
      </w:r>
      <w:r w:rsidR="00F22D6A" w:rsidRPr="00F22D6A">
        <w:t xml:space="preserve"> erivajadus erinõuetele vastava digiseadme järele.</w:t>
      </w:r>
    </w:p>
    <w:p w14:paraId="56EE5674" w14:textId="77777777" w:rsidR="00CD711D" w:rsidRPr="001E4E63" w:rsidRDefault="00CD711D" w:rsidP="00CD711D">
      <w:pPr>
        <w:pStyle w:val="ListParagraph"/>
      </w:pPr>
    </w:p>
    <w:p w14:paraId="56EE5675" w14:textId="77777777" w:rsidR="00CD711D" w:rsidRPr="001E4E63" w:rsidRDefault="00CD711D" w:rsidP="00CD711D">
      <w:pPr>
        <w:pStyle w:val="ListParagraph"/>
        <w:ind w:left="0"/>
        <w:jc w:val="both"/>
      </w:pPr>
      <w:r>
        <w:rPr>
          <w:b/>
        </w:rPr>
        <w:t>4.</w:t>
      </w:r>
      <w:r w:rsidRPr="001E4E63">
        <w:rPr>
          <w:b/>
        </w:rPr>
        <w:t>4. Digipädevuste hindamismudelite loomine ja rakendamine</w:t>
      </w:r>
      <w:r w:rsidRPr="001E4E63">
        <w:t xml:space="preserve"> (õpetajatele, õpilastele, koolijuhtidele, täiskasvanud õppijatele) ning nende tunnustamise süsteemi juurutamine. </w:t>
      </w:r>
    </w:p>
    <w:p w14:paraId="56EE5676" w14:textId="77777777" w:rsidR="00144FE5" w:rsidRDefault="00144FE5" w:rsidP="00CD711D">
      <w:pPr>
        <w:pStyle w:val="ListParagraph"/>
        <w:ind w:left="0"/>
        <w:jc w:val="both"/>
      </w:pPr>
    </w:p>
    <w:p w14:paraId="56EE5677" w14:textId="77777777" w:rsidR="00CD711D" w:rsidRPr="001E4E63" w:rsidRDefault="00B256FC" w:rsidP="00CD711D">
      <w:pPr>
        <w:pStyle w:val="ListParagraph"/>
        <w:ind w:left="0"/>
        <w:jc w:val="both"/>
      </w:pPr>
      <w:r>
        <w:t>Vajaliku</w:t>
      </w:r>
      <w:r w:rsidRPr="001E4E63">
        <w:t xml:space="preserve">d </w:t>
      </w:r>
      <w:r w:rsidR="00CD711D" w:rsidRPr="001E4E63">
        <w:t xml:space="preserve">tegevused: </w:t>
      </w:r>
    </w:p>
    <w:p w14:paraId="56EE5678" w14:textId="77777777" w:rsidR="00091625" w:rsidRDefault="00382716" w:rsidP="00091625">
      <w:pPr>
        <w:pStyle w:val="ListParagraph"/>
        <w:numPr>
          <w:ilvl w:val="0"/>
          <w:numId w:val="25"/>
        </w:numPr>
        <w:jc w:val="both"/>
      </w:pPr>
      <w:r>
        <w:t>õ</w:t>
      </w:r>
      <w:r w:rsidR="00091625">
        <w:t>pilaste digipädevuste taset  hinnatakse 3. j</w:t>
      </w:r>
      <w:r w:rsidR="00091625" w:rsidRPr="00632CE3">
        <w:t>a 4. kooliastme lõpul</w:t>
      </w:r>
      <w:r w:rsidR="00B56191">
        <w:t>;</w:t>
      </w:r>
    </w:p>
    <w:p w14:paraId="56EE5679" w14:textId="77777777" w:rsidR="00091625" w:rsidRPr="001E4E63" w:rsidRDefault="00382716" w:rsidP="00091625">
      <w:pPr>
        <w:pStyle w:val="ListParagraph"/>
        <w:numPr>
          <w:ilvl w:val="0"/>
          <w:numId w:val="25"/>
        </w:numPr>
        <w:jc w:val="both"/>
      </w:pPr>
      <w:r>
        <w:t>k</w:t>
      </w:r>
      <w:r w:rsidR="00091625">
        <w:t>ehtestatakse digipädevuste mudelid,</w:t>
      </w:r>
      <w:r w:rsidR="00091625" w:rsidRPr="001E4E63">
        <w:t xml:space="preserve"> õpetajate taseme- ja täiend</w:t>
      </w:r>
      <w:r w:rsidR="00091625">
        <w:t>usõppe õppekavad</w:t>
      </w:r>
      <w:r w:rsidR="00091625" w:rsidRPr="001E4E63">
        <w:t xml:space="preserve"> </w:t>
      </w:r>
      <w:r w:rsidR="00091625">
        <w:t xml:space="preserve">viiakse </w:t>
      </w:r>
      <w:r w:rsidR="00091625" w:rsidRPr="001E4E63">
        <w:t>vastavusse nende pädevusmudelitega</w:t>
      </w:r>
      <w:r w:rsidR="00091625">
        <w:t>;</w:t>
      </w:r>
    </w:p>
    <w:p w14:paraId="56EE567A" w14:textId="77777777" w:rsidR="00091625" w:rsidRDefault="00382716" w:rsidP="00091625">
      <w:pPr>
        <w:pStyle w:val="ListParagraph"/>
        <w:numPr>
          <w:ilvl w:val="0"/>
          <w:numId w:val="25"/>
        </w:numPr>
        <w:jc w:val="both"/>
      </w:pPr>
      <w:r>
        <w:t>l</w:t>
      </w:r>
      <w:r w:rsidR="00091625">
        <w:t>uuakse ja rakendatakse i</w:t>
      </w:r>
      <w:r w:rsidR="00091625" w:rsidRPr="001E4E63">
        <w:t>seõppimise või praktilise kogemuse teel kujundatud digipädevuste hindamise</w:t>
      </w:r>
      <w:r w:rsidR="00091625">
        <w:t xml:space="preserve"> keskkond ja tunnustamise süsteem</w:t>
      </w:r>
      <w:r w:rsidR="00091625" w:rsidRPr="001E4E63">
        <w:t xml:space="preserve">. </w:t>
      </w:r>
    </w:p>
    <w:p w14:paraId="56EE567B" w14:textId="77777777" w:rsidR="00CD711D" w:rsidRPr="001E4E63" w:rsidRDefault="00CD711D" w:rsidP="00CD711D">
      <w:pPr>
        <w:jc w:val="both"/>
      </w:pPr>
      <w:r w:rsidRPr="00764728">
        <w:rPr>
          <w:b/>
        </w:rPr>
        <w:t>4.5. Õpivõimaluste loomine täiskasvanutele digi</w:t>
      </w:r>
      <w:r w:rsidR="009448B9">
        <w:rPr>
          <w:b/>
        </w:rPr>
        <w:t>pädevuste</w:t>
      </w:r>
      <w:r w:rsidRPr="00764728">
        <w:rPr>
          <w:b/>
        </w:rPr>
        <w:t xml:space="preserve"> omandamiseks ja arendamiseks</w:t>
      </w:r>
      <w:r w:rsidRPr="00DF1EBF">
        <w:t>, et inimesed oskaksid kasutada digivahendeid oma elukvaliteedi parandamiseks ning töö tootlikumaks muutmiseks</w:t>
      </w:r>
      <w:r w:rsidR="004116D2">
        <w:t>;</w:t>
      </w:r>
      <w:r w:rsidR="004116D2" w:rsidRPr="00DF1EBF">
        <w:t xml:space="preserve"> </w:t>
      </w:r>
      <w:r w:rsidR="004116D2">
        <w:t>s</w:t>
      </w:r>
      <w:r w:rsidRPr="00DF1EBF">
        <w:t xml:space="preserve">elleks teevad koolitusasutused koostööd erinevate partneritega „Infoühiskonna arengukava 2020“ </w:t>
      </w:r>
      <w:r w:rsidR="000D4758">
        <w:t>eesmärkide täitmise</w:t>
      </w:r>
      <w:r w:rsidR="000D4758" w:rsidRPr="00DF1EBF">
        <w:t>l</w:t>
      </w:r>
      <w:r w:rsidRPr="00DF1EBF">
        <w:t xml:space="preserve">. </w:t>
      </w:r>
    </w:p>
    <w:p w14:paraId="56EE567C" w14:textId="77777777" w:rsidR="001947EC" w:rsidRDefault="00CD711D" w:rsidP="00CD711D">
      <w:pPr>
        <w:jc w:val="both"/>
        <w:rPr>
          <w:b/>
        </w:rPr>
      </w:pPr>
      <w:r>
        <w:rPr>
          <w:b/>
        </w:rPr>
        <w:t xml:space="preserve"> </w:t>
      </w:r>
    </w:p>
    <w:p w14:paraId="56EE567D" w14:textId="77777777" w:rsidR="00B56191" w:rsidRDefault="00B56191" w:rsidP="00CD711D">
      <w:pPr>
        <w:jc w:val="both"/>
      </w:pPr>
    </w:p>
    <w:p w14:paraId="56EE567E" w14:textId="77777777" w:rsidR="00AF75E4" w:rsidRPr="0053311E" w:rsidRDefault="003334DE" w:rsidP="001947EC">
      <w:pPr>
        <w:pStyle w:val="Heading2"/>
        <w:numPr>
          <w:ilvl w:val="0"/>
          <w:numId w:val="37"/>
        </w:numPr>
      </w:pPr>
      <w:bookmarkStart w:id="10" w:name="_Toc376952251"/>
      <w:r>
        <w:t>Võrdsed võimalused elukestvaks õppeks ja õ</w:t>
      </w:r>
      <w:r w:rsidR="00AF75E4" w:rsidRPr="0053311E">
        <w:t xml:space="preserve">ppes osaluse kasv </w:t>
      </w:r>
      <w:bookmarkEnd w:id="10"/>
      <w:r w:rsidR="00AF75E4" w:rsidRPr="0053311E">
        <w:tab/>
      </w:r>
    </w:p>
    <w:p w14:paraId="56EE567F" w14:textId="77777777" w:rsidR="00355734" w:rsidRDefault="00355734" w:rsidP="00355734">
      <w:pPr>
        <w:spacing w:after="120"/>
        <w:jc w:val="both"/>
      </w:pPr>
    </w:p>
    <w:p w14:paraId="56EE5680" w14:textId="77777777" w:rsidR="00BB231B" w:rsidRPr="009230FC" w:rsidRDefault="00BB231B" w:rsidP="00BB231B">
      <w:pPr>
        <w:spacing w:after="120"/>
        <w:jc w:val="both"/>
        <w:rPr>
          <w:b/>
        </w:rPr>
      </w:pPr>
      <w:r w:rsidRPr="009230FC">
        <w:t>Eesti riik peab tagama kõikidele inimestele võrdsed võimalused saada võimetekohast kvaliteetset haridust. Samas on rida</w:t>
      </w:r>
      <w:r w:rsidR="009230FC">
        <w:t xml:space="preserve"> </w:t>
      </w:r>
      <w:r w:rsidRPr="009230FC">
        <w:t>sotsiaalsed, keelelised ja soolisi, aga ka majanduslikke ja regionaalseid barjääre, mis neid võimalusi piiravad. Endiselt on probleemiks erivajadustega lastele ja noortele võrdsete haridusvõimaluste tagamine. Täiend- ja ümberõpe ei jõua sageli seda vajavate sihtgruppideni. Vaatamata paranemistendentsidele on Eestis endiselt kõrge koolist väljalangevus.</w:t>
      </w:r>
    </w:p>
    <w:p w14:paraId="56EE5681" w14:textId="77777777" w:rsidR="00BB231B" w:rsidRPr="006655BF" w:rsidRDefault="00BB231B" w:rsidP="00BB231B">
      <w:pPr>
        <w:spacing w:before="240"/>
        <w:jc w:val="both"/>
      </w:pPr>
      <w:r w:rsidRPr="009230FC">
        <w:rPr>
          <w:rFonts w:eastAsia="Times New Roman" w:cs="Segoe UI"/>
          <w:lang w:eastAsia="et-EE"/>
        </w:rPr>
        <w:t>Eesti haridusvaldkonna rahastamise osakaal avaliku sektori eelarvest on käesoleval ajal võrreldav edukate riikidega</w:t>
      </w:r>
      <w:r w:rsidRPr="009230FC">
        <w:t>. Et saavutada elukestvas õppes osaluse kasv, peaks rahastamine senisest rohkem arvestama   sihtrühmade võimaluste, vajaduste ja eripäradega. Rahastamisotsused peavad lähtuma riigi prioriteetidest ja võimalustest, olema avalikud ja selged – nagu ka eri sihtrühmadele mõeldud tugiteenused</w:t>
      </w:r>
      <w:r w:rsidR="00492BD5">
        <w:t>.</w:t>
      </w:r>
    </w:p>
    <w:p w14:paraId="56EE5682" w14:textId="77777777" w:rsidR="00AF75E4" w:rsidRPr="009468EB" w:rsidRDefault="00AF75E4" w:rsidP="00551D26">
      <w:pPr>
        <w:spacing w:after="240" w:line="240" w:lineRule="auto"/>
        <w:jc w:val="both"/>
        <w:rPr>
          <w:rFonts w:cs="Times New Roman"/>
          <w:b/>
          <w:sz w:val="24"/>
          <w:szCs w:val="24"/>
          <w:lang w:eastAsia="et-EE"/>
        </w:rPr>
      </w:pPr>
      <w:r w:rsidRPr="009468EB">
        <w:rPr>
          <w:b/>
        </w:rPr>
        <w:t xml:space="preserve">Eesmärk on </w:t>
      </w:r>
      <w:r w:rsidR="00355734">
        <w:rPr>
          <w:b/>
        </w:rPr>
        <w:t>kõigile võrdsete võimaluste loomine elukestvaks õppeks</w:t>
      </w:r>
      <w:r w:rsidR="00551D26">
        <w:rPr>
          <w:b/>
        </w:rPr>
        <w:t>.</w:t>
      </w:r>
      <w:r w:rsidR="00355734">
        <w:rPr>
          <w:b/>
        </w:rPr>
        <w:t xml:space="preserve"> </w:t>
      </w:r>
    </w:p>
    <w:p w14:paraId="56EE5683" w14:textId="77777777" w:rsidR="00AF75E4" w:rsidRPr="00551D26" w:rsidRDefault="009468EB" w:rsidP="00551D26">
      <w:pPr>
        <w:pStyle w:val="BodyText"/>
        <w:spacing w:after="240"/>
        <w:jc w:val="both"/>
        <w:rPr>
          <w:rFonts w:asciiTheme="minorHAnsi" w:hAnsiTheme="minorHAnsi"/>
          <w:sz w:val="22"/>
          <w:szCs w:val="22"/>
        </w:rPr>
      </w:pPr>
      <w:r w:rsidRPr="00551D26">
        <w:rPr>
          <w:rFonts w:asciiTheme="minorHAnsi" w:hAnsiTheme="minorHAnsi"/>
          <w:sz w:val="22"/>
          <w:szCs w:val="22"/>
        </w:rPr>
        <w:t>Eesmärgi täitmise</w:t>
      </w:r>
      <w:r w:rsidR="00A86AA5" w:rsidRPr="00551D26">
        <w:rPr>
          <w:rFonts w:asciiTheme="minorHAnsi" w:hAnsiTheme="minorHAnsi"/>
          <w:sz w:val="22"/>
          <w:szCs w:val="22"/>
        </w:rPr>
        <w:t xml:space="preserve">l on eelduseks </w:t>
      </w:r>
      <w:r w:rsidRPr="00551D26">
        <w:rPr>
          <w:rFonts w:asciiTheme="minorHAnsi" w:hAnsiTheme="minorHAnsi"/>
          <w:sz w:val="22"/>
          <w:szCs w:val="22"/>
        </w:rPr>
        <w:t xml:space="preserve">riigi ja kohalike omavalitsuste </w:t>
      </w:r>
      <w:r w:rsidR="00E3612B" w:rsidRPr="00551D26">
        <w:rPr>
          <w:rFonts w:asciiTheme="minorHAnsi" w:hAnsiTheme="minorHAnsi"/>
          <w:sz w:val="22"/>
          <w:szCs w:val="22"/>
        </w:rPr>
        <w:t xml:space="preserve">ning teiste </w:t>
      </w:r>
      <w:r w:rsidR="00551D26" w:rsidRPr="00551D26">
        <w:rPr>
          <w:rFonts w:asciiTheme="minorHAnsi" w:hAnsiTheme="minorHAnsi"/>
          <w:sz w:val="22"/>
          <w:szCs w:val="22"/>
        </w:rPr>
        <w:t xml:space="preserve">asjassepuutuvate </w:t>
      </w:r>
      <w:r w:rsidR="00E3612B" w:rsidRPr="00551D26">
        <w:rPr>
          <w:rFonts w:asciiTheme="minorHAnsi" w:hAnsiTheme="minorHAnsi"/>
          <w:sz w:val="22"/>
          <w:szCs w:val="22"/>
        </w:rPr>
        <w:t xml:space="preserve">institutsioonide </w:t>
      </w:r>
      <w:r w:rsidRPr="00551D26">
        <w:rPr>
          <w:rFonts w:asciiTheme="minorHAnsi" w:hAnsiTheme="minorHAnsi"/>
          <w:sz w:val="22"/>
          <w:szCs w:val="22"/>
        </w:rPr>
        <w:t>koostöö.</w:t>
      </w:r>
    </w:p>
    <w:p w14:paraId="56EE5684" w14:textId="77777777" w:rsidR="009468EB" w:rsidRPr="001E4E63" w:rsidRDefault="009468EB" w:rsidP="00144FE5">
      <w:pPr>
        <w:pStyle w:val="BodyText"/>
        <w:spacing w:after="240"/>
      </w:pPr>
    </w:p>
    <w:p w14:paraId="56EE5685" w14:textId="77777777" w:rsidR="00AF75E4" w:rsidRPr="001E4E63" w:rsidRDefault="00AF75E4" w:rsidP="00F51D39">
      <w:pPr>
        <w:tabs>
          <w:tab w:val="center" w:pos="4536"/>
        </w:tabs>
        <w:spacing w:after="240" w:line="360" w:lineRule="auto"/>
        <w:rPr>
          <w:b/>
        </w:rPr>
      </w:pPr>
      <w:r w:rsidRPr="00937147">
        <w:rPr>
          <w:b/>
          <w:color w:val="1F497D" w:themeColor="text2"/>
          <w:sz w:val="24"/>
          <w:szCs w:val="24"/>
        </w:rPr>
        <w:t>Strateegilised meetmed</w:t>
      </w:r>
      <w:r w:rsidR="009F1849">
        <w:rPr>
          <w:b/>
          <w:color w:val="1F497D" w:themeColor="text2"/>
          <w:sz w:val="24"/>
          <w:szCs w:val="24"/>
        </w:rPr>
        <w:tab/>
      </w:r>
    </w:p>
    <w:p w14:paraId="56EE5686" w14:textId="77777777" w:rsidR="00492BD5" w:rsidRDefault="00551D26" w:rsidP="00551D26">
      <w:pPr>
        <w:jc w:val="both"/>
      </w:pPr>
      <w:r w:rsidRPr="0017399C">
        <w:rPr>
          <w:b/>
        </w:rPr>
        <w:t>5.</w:t>
      </w:r>
      <w:r w:rsidR="00492BD5">
        <w:rPr>
          <w:b/>
        </w:rPr>
        <w:t>1</w:t>
      </w:r>
      <w:r>
        <w:t xml:space="preserve"> </w:t>
      </w:r>
      <w:r w:rsidRPr="00BF652E">
        <w:rPr>
          <w:b/>
        </w:rPr>
        <w:t xml:space="preserve">Kõigile lastele </w:t>
      </w:r>
      <w:r>
        <w:rPr>
          <w:b/>
        </w:rPr>
        <w:t xml:space="preserve">paindlike </w:t>
      </w:r>
      <w:r w:rsidRPr="00BF652E">
        <w:rPr>
          <w:b/>
        </w:rPr>
        <w:t>võimalus</w:t>
      </w:r>
      <w:r>
        <w:rPr>
          <w:b/>
        </w:rPr>
        <w:t>t</w:t>
      </w:r>
      <w:r w:rsidRPr="00BF652E">
        <w:rPr>
          <w:b/>
        </w:rPr>
        <w:t>e loomine alushariduse õppekavas osalemiseks vähemalt aasta enne kooli</w:t>
      </w:r>
      <w:r>
        <w:rPr>
          <w:b/>
        </w:rPr>
        <w:t>, et vanematel oleks kindlus laste koolivalmiduse suhtes.</w:t>
      </w:r>
      <w:r w:rsidRPr="001E4E63">
        <w:t xml:space="preserve"> </w:t>
      </w:r>
      <w:r w:rsidR="00492BD5">
        <w:t xml:space="preserve"> Selleks</w:t>
      </w:r>
    </w:p>
    <w:p w14:paraId="56EE5687" w14:textId="77777777" w:rsidR="00551D26" w:rsidRPr="001E4E63" w:rsidRDefault="00492BD5" w:rsidP="00357857">
      <w:pPr>
        <w:pStyle w:val="ListParagraph"/>
        <w:numPr>
          <w:ilvl w:val="0"/>
          <w:numId w:val="53"/>
        </w:numPr>
        <w:jc w:val="both"/>
      </w:pPr>
      <w:r>
        <w:t>loovad o</w:t>
      </w:r>
      <w:r w:rsidR="00551D26" w:rsidRPr="001E4E63">
        <w:t>mavalitsus</w:t>
      </w:r>
      <w:r>
        <w:t>ed</w:t>
      </w:r>
      <w:r w:rsidR="00551D26" w:rsidRPr="001E4E63">
        <w:t xml:space="preserve"> vajalikul arvul lastehoiu- ja lasteaiakohti, tagades alushariduse õppekava eesmärkide täitmise.</w:t>
      </w:r>
    </w:p>
    <w:p w14:paraId="56EE5688" w14:textId="77777777" w:rsidR="003840B0" w:rsidRDefault="00B5312E" w:rsidP="000E3638">
      <w:pPr>
        <w:jc w:val="both"/>
      </w:pPr>
      <w:r w:rsidRPr="000E3638">
        <w:rPr>
          <w:b/>
          <w:bCs/>
        </w:rPr>
        <w:t xml:space="preserve">5.2. </w:t>
      </w:r>
      <w:r w:rsidR="00551D26">
        <w:rPr>
          <w:b/>
          <w:bCs/>
        </w:rPr>
        <w:t xml:space="preserve">Kvaliteetse ja valikuterohke gümnaasiumihariduse võimaluste loomine igas maakonnas ning kvaliteetse kodulähedase põhihariduse tagamine. </w:t>
      </w:r>
      <w:r>
        <w:t xml:space="preserve">Gümnaasiumid on reeglina põhikoolidest lahutatud ja kuuluvad riigi haldusalasse. </w:t>
      </w:r>
      <w:r w:rsidR="003840B0">
        <w:t>Kutseõppeasutuste ja gümnaasiumide võrku arendatakse terviklikult.</w:t>
      </w:r>
    </w:p>
    <w:p w14:paraId="56EE5689" w14:textId="77777777" w:rsidR="00B5312E" w:rsidRDefault="00756E76" w:rsidP="00B5312E">
      <w:pPr>
        <w:jc w:val="both"/>
      </w:pPr>
      <w:r>
        <w:t>Vajalikud tegevused</w:t>
      </w:r>
      <w:r w:rsidR="00B5312E">
        <w:t>:</w:t>
      </w:r>
    </w:p>
    <w:p w14:paraId="56EE568A" w14:textId="77777777" w:rsidR="00492BD5" w:rsidRDefault="00492BD5" w:rsidP="00551D26">
      <w:pPr>
        <w:pStyle w:val="ListParagraph"/>
        <w:numPr>
          <w:ilvl w:val="0"/>
          <w:numId w:val="43"/>
        </w:numPr>
        <w:jc w:val="both"/>
      </w:pPr>
      <w:r>
        <w:t xml:space="preserve">riigi ja kohalike omavalitsuste koostöös korrastatakse </w:t>
      </w:r>
      <w:r w:rsidR="00551D26">
        <w:t>gümnaasiumivõr</w:t>
      </w:r>
      <w:r>
        <w:t>k</w:t>
      </w:r>
      <w:r w:rsidR="00B56191">
        <w:t>;</w:t>
      </w:r>
    </w:p>
    <w:p w14:paraId="56EE568B" w14:textId="77777777" w:rsidR="00551D26" w:rsidRPr="0012761D" w:rsidRDefault="009222C5" w:rsidP="00551D26">
      <w:pPr>
        <w:pStyle w:val="ListParagraph"/>
        <w:numPr>
          <w:ilvl w:val="0"/>
          <w:numId w:val="43"/>
        </w:numPr>
        <w:jc w:val="both"/>
      </w:pPr>
      <w:r>
        <w:t xml:space="preserve">töötatakse välja ning rakendatakse rahastamismudel, mis tagab juurdepääsu </w:t>
      </w:r>
      <w:r w:rsidR="00551D26">
        <w:t>k</w:t>
      </w:r>
      <w:r w:rsidR="00551D26" w:rsidRPr="0012761D">
        <w:t xml:space="preserve">valiteetsele kodulähedasele põhikoolile ning mitmeid valikuvõimalusi pakkuvale kodumaakonnas </w:t>
      </w:r>
      <w:r w:rsidR="00551D26">
        <w:t xml:space="preserve">asuvale </w:t>
      </w:r>
      <w:r w:rsidR="00551D26" w:rsidRPr="0012761D">
        <w:t>gümnaasiumile</w:t>
      </w:r>
      <w:r w:rsidR="00B56191">
        <w:t>;</w:t>
      </w:r>
      <w:r w:rsidR="00551D26" w:rsidRPr="0012761D">
        <w:t xml:space="preserve">  </w:t>
      </w:r>
    </w:p>
    <w:p w14:paraId="56EE568C" w14:textId="77777777" w:rsidR="00B5312E" w:rsidRDefault="009222C5" w:rsidP="00AB58B2">
      <w:pPr>
        <w:pStyle w:val="ListParagraph"/>
        <w:numPr>
          <w:ilvl w:val="0"/>
          <w:numId w:val="43"/>
        </w:numPr>
        <w:jc w:val="both"/>
      </w:pPr>
      <w:r>
        <w:t xml:space="preserve">töötatakse välja ja rakendatakse investeeringute kava </w:t>
      </w:r>
      <w:r w:rsidR="009448B9">
        <w:t xml:space="preserve">gümnaasiumide ja </w:t>
      </w:r>
      <w:r w:rsidR="00B5312E">
        <w:t>põhikoolide taristu nüüdisajastamiseks ja pinnakasutuse optimeerimiseks;</w:t>
      </w:r>
    </w:p>
    <w:p w14:paraId="56EE568D" w14:textId="77777777" w:rsidR="00B5312E" w:rsidRDefault="009222C5" w:rsidP="00AB58B2">
      <w:pPr>
        <w:pStyle w:val="ListParagraph"/>
        <w:numPr>
          <w:ilvl w:val="0"/>
          <w:numId w:val="43"/>
        </w:numPr>
        <w:jc w:val="both"/>
      </w:pPr>
      <w:r>
        <w:t xml:space="preserve">töötatakse välja ja rakendatakse investeeringute kava </w:t>
      </w:r>
      <w:r w:rsidR="00B5312E">
        <w:t>spetsiifilist õppekorraldust ja ressursimahukaid tugimeetmeid vajavatele õpilastele mõeldud erikoolide ja kaasava hariduse toetamiseks</w:t>
      </w:r>
      <w:r w:rsidR="00FC0411">
        <w:t>. </w:t>
      </w:r>
    </w:p>
    <w:p w14:paraId="56EE568E" w14:textId="77777777" w:rsidR="00D62A0D" w:rsidRDefault="00144FE5" w:rsidP="00144FE5">
      <w:pPr>
        <w:jc w:val="both"/>
      </w:pPr>
      <w:r>
        <w:t>Haridustaristu investeeringute põhimõtted kiidetakse heaks strateegia rakendamiseks koostatavas programmis.</w:t>
      </w:r>
    </w:p>
    <w:p w14:paraId="56EE568F" w14:textId="77777777" w:rsidR="00CF5AF9" w:rsidRDefault="00B5312E" w:rsidP="00EB226F">
      <w:pPr>
        <w:jc w:val="both"/>
        <w:rPr>
          <w:b/>
          <w:bCs/>
        </w:rPr>
      </w:pPr>
      <w:r>
        <w:rPr>
          <w:b/>
          <w:bCs/>
        </w:rPr>
        <w:t xml:space="preserve">5.3. </w:t>
      </w:r>
      <w:r w:rsidR="00EB226F">
        <w:rPr>
          <w:b/>
          <w:bCs/>
        </w:rPr>
        <w:t xml:space="preserve">Kvaliteetse ning töömaailma vajadustele vastava </w:t>
      </w:r>
      <w:r w:rsidR="00CF5AF9">
        <w:rPr>
          <w:b/>
          <w:bCs/>
        </w:rPr>
        <w:t xml:space="preserve">kutse- ja </w:t>
      </w:r>
      <w:r w:rsidR="00EB226F">
        <w:rPr>
          <w:b/>
          <w:bCs/>
        </w:rPr>
        <w:t xml:space="preserve">kõrghariduse kättesaadavuse tagamine. </w:t>
      </w:r>
    </w:p>
    <w:p w14:paraId="56EE5690" w14:textId="77777777" w:rsidR="00CF5AF9" w:rsidRDefault="00F33C78" w:rsidP="00CF5AF9">
      <w:pPr>
        <w:pStyle w:val="ListParagraph"/>
        <w:numPr>
          <w:ilvl w:val="0"/>
          <w:numId w:val="53"/>
        </w:numPr>
        <w:jc w:val="both"/>
        <w:rPr>
          <w:bCs/>
        </w:rPr>
      </w:pPr>
      <w:r>
        <w:rPr>
          <w:bCs/>
        </w:rPr>
        <w:t xml:space="preserve">töötatakse välja ja rakendatakse </w:t>
      </w:r>
      <w:r w:rsidR="00CF5AF9" w:rsidRPr="00CF5AF9">
        <w:rPr>
          <w:bCs/>
        </w:rPr>
        <w:t>kutseõppeasutusi suuremale tulemuslikkusele, katkestajate arvu vähenemisele ning kval</w:t>
      </w:r>
      <w:r>
        <w:rPr>
          <w:bCs/>
        </w:rPr>
        <w:t>iteedi väärtustamisele suunavad rahastamispõhimõtted</w:t>
      </w:r>
      <w:r w:rsidR="00CF5AF9" w:rsidRPr="00CF5AF9">
        <w:rPr>
          <w:bCs/>
        </w:rPr>
        <w:t xml:space="preserve"> </w:t>
      </w:r>
      <w:r w:rsidR="000960D3">
        <w:rPr>
          <w:bCs/>
        </w:rPr>
        <w:t>ning käivitatakse nende</w:t>
      </w:r>
      <w:r w:rsidR="00CF5AF9">
        <w:rPr>
          <w:bCs/>
        </w:rPr>
        <w:t xml:space="preserve"> tulemuslikkuse seire;</w:t>
      </w:r>
    </w:p>
    <w:p w14:paraId="56EE5691" w14:textId="77777777" w:rsidR="00F33C78" w:rsidRDefault="00F33C78" w:rsidP="00CF5AF9">
      <w:pPr>
        <w:pStyle w:val="ListParagraph"/>
        <w:numPr>
          <w:ilvl w:val="0"/>
          <w:numId w:val="53"/>
        </w:numPr>
        <w:jc w:val="both"/>
        <w:rPr>
          <w:bCs/>
        </w:rPr>
      </w:pPr>
      <w:r>
        <w:rPr>
          <w:bCs/>
        </w:rPr>
        <w:t>töötatakse välja</w:t>
      </w:r>
      <w:r w:rsidRPr="00F33C78">
        <w:rPr>
          <w:bCs/>
        </w:rPr>
        <w:t xml:space="preserve"> kõrgkoolide mõistlik tööjaot</w:t>
      </w:r>
      <w:r w:rsidR="000960D3">
        <w:rPr>
          <w:bCs/>
        </w:rPr>
        <w:t>us ja selged vastutusvaldkonnad;</w:t>
      </w:r>
      <w:r w:rsidRPr="00F33C78">
        <w:rPr>
          <w:bCs/>
        </w:rPr>
        <w:t xml:space="preserve"> </w:t>
      </w:r>
    </w:p>
    <w:p w14:paraId="56EE5692" w14:textId="77777777" w:rsidR="000960D3" w:rsidRDefault="000960D3" w:rsidP="00CF5AF9">
      <w:pPr>
        <w:pStyle w:val="ListParagraph"/>
        <w:numPr>
          <w:ilvl w:val="0"/>
          <w:numId w:val="53"/>
        </w:numPr>
        <w:jc w:val="both"/>
        <w:rPr>
          <w:bCs/>
        </w:rPr>
      </w:pPr>
      <w:r>
        <w:rPr>
          <w:bCs/>
        </w:rPr>
        <w:t>rakendatakse k</w:t>
      </w:r>
      <w:r w:rsidRPr="00CF5AF9">
        <w:rPr>
          <w:bCs/>
        </w:rPr>
        <w:t xml:space="preserve">õrgharidusele õiglast juurdepääsu, </w:t>
      </w:r>
      <w:r w:rsidRPr="00F33C78">
        <w:rPr>
          <w:bCs/>
        </w:rPr>
        <w:t>riigi ja kõrgkooli</w:t>
      </w:r>
      <w:r>
        <w:rPr>
          <w:bCs/>
        </w:rPr>
        <w:t>de</w:t>
      </w:r>
      <w:r w:rsidRPr="00F33C78">
        <w:rPr>
          <w:bCs/>
        </w:rPr>
        <w:t xml:space="preserve"> strateegilisi valikuid</w:t>
      </w:r>
      <w:r>
        <w:rPr>
          <w:bCs/>
        </w:rPr>
        <w:t xml:space="preserve">, </w:t>
      </w:r>
      <w:r w:rsidRPr="00F33C78">
        <w:rPr>
          <w:bCs/>
        </w:rPr>
        <w:t>Eesti kõrgkoolide vahelist ja rahvusvahelist koostööd</w:t>
      </w:r>
      <w:r>
        <w:rPr>
          <w:bCs/>
        </w:rPr>
        <w:t xml:space="preserve"> toetavaid rahastamise põhimõtteid ning käivitat</w:t>
      </w:r>
      <w:r w:rsidR="00B56191">
        <w:rPr>
          <w:bCs/>
        </w:rPr>
        <w:t>akse nende tulemuslikkuse seire;</w:t>
      </w:r>
    </w:p>
    <w:p w14:paraId="56EE5693" w14:textId="77777777" w:rsidR="000960D3" w:rsidRPr="00CF5AF9" w:rsidRDefault="000960D3" w:rsidP="000960D3">
      <w:pPr>
        <w:pStyle w:val="ListParagraph"/>
        <w:numPr>
          <w:ilvl w:val="0"/>
          <w:numId w:val="53"/>
        </w:numPr>
        <w:jc w:val="both"/>
        <w:rPr>
          <w:bCs/>
        </w:rPr>
      </w:pPr>
      <w:r>
        <w:t>töötatakse välja ja rakendatakse investeeringute kava tulemuslepingutes määratletud vastutusvaldkondade</w:t>
      </w:r>
      <w:r w:rsidR="00357857">
        <w:t>s esmavajalik</w:t>
      </w:r>
      <w:r>
        <w:t xml:space="preserve">u </w:t>
      </w:r>
      <w:r w:rsidR="00357857">
        <w:t>taristu</w:t>
      </w:r>
      <w:r>
        <w:t xml:space="preserve"> tagamiseks. </w:t>
      </w:r>
    </w:p>
    <w:p w14:paraId="56EE5694" w14:textId="77777777" w:rsidR="00AF75E4" w:rsidRPr="001E4E63" w:rsidRDefault="00BF652E" w:rsidP="00BF652E">
      <w:pPr>
        <w:jc w:val="both"/>
      </w:pPr>
      <w:r>
        <w:rPr>
          <w:b/>
        </w:rPr>
        <w:t>5.</w:t>
      </w:r>
      <w:r w:rsidR="00357857">
        <w:rPr>
          <w:b/>
        </w:rPr>
        <w:t>4.</w:t>
      </w:r>
      <w:r>
        <w:rPr>
          <w:b/>
        </w:rPr>
        <w:t xml:space="preserve"> </w:t>
      </w:r>
      <w:r w:rsidR="00F04511">
        <w:rPr>
          <w:b/>
        </w:rPr>
        <w:t>Tugiteenuste tagamine elukestvas õppes osalejale</w:t>
      </w:r>
      <w:r w:rsidR="00AF75E4" w:rsidRPr="00BF652E">
        <w:rPr>
          <w:b/>
        </w:rPr>
        <w:t>.</w:t>
      </w:r>
    </w:p>
    <w:p w14:paraId="56EE5695" w14:textId="77777777" w:rsidR="00E3612B" w:rsidRDefault="00AF75E4" w:rsidP="00AF75E4">
      <w:pPr>
        <w:jc w:val="both"/>
        <w:rPr>
          <w:rFonts w:eastAsia="Times New Roman" w:cs="Times New Roman"/>
          <w:lang w:eastAsia="et-EE"/>
        </w:rPr>
      </w:pPr>
      <w:r w:rsidRPr="001E4E63">
        <w:rPr>
          <w:rFonts w:eastAsia="Times New Roman" w:cs="Times New Roman"/>
          <w:lang w:eastAsia="et-EE"/>
        </w:rPr>
        <w:t>Kõigi õppijate osalemi</w:t>
      </w:r>
      <w:r>
        <w:rPr>
          <w:rFonts w:eastAsia="Times New Roman" w:cs="Times New Roman"/>
          <w:lang w:eastAsia="et-EE"/>
        </w:rPr>
        <w:t>ne</w:t>
      </w:r>
      <w:r w:rsidRPr="001E4E63">
        <w:rPr>
          <w:rFonts w:eastAsia="Times New Roman" w:cs="Times New Roman"/>
          <w:lang w:eastAsia="et-EE"/>
        </w:rPr>
        <w:t xml:space="preserve"> võimetekohases õppes </w:t>
      </w:r>
      <w:r>
        <w:rPr>
          <w:rFonts w:eastAsia="Times New Roman" w:cs="Times New Roman"/>
          <w:lang w:eastAsia="et-EE"/>
        </w:rPr>
        <w:t>eeldab</w:t>
      </w:r>
      <w:r w:rsidRPr="001E4E63">
        <w:rPr>
          <w:rFonts w:eastAsia="Times New Roman" w:cs="Times New Roman"/>
          <w:lang w:eastAsia="et-EE"/>
        </w:rPr>
        <w:t xml:space="preserve"> õpetajate</w:t>
      </w:r>
      <w:r>
        <w:rPr>
          <w:rFonts w:eastAsia="Times New Roman" w:cs="Times New Roman"/>
          <w:lang w:eastAsia="et-EE"/>
        </w:rPr>
        <w:t xml:space="preserve">, </w:t>
      </w:r>
      <w:r w:rsidRPr="001E4E63">
        <w:rPr>
          <w:rFonts w:eastAsia="Times New Roman" w:cs="Times New Roman"/>
          <w:lang w:eastAsia="et-EE"/>
        </w:rPr>
        <w:t>õppeasutus</w:t>
      </w:r>
      <w:r>
        <w:rPr>
          <w:rFonts w:eastAsia="Times New Roman" w:cs="Times New Roman"/>
          <w:lang w:eastAsia="et-EE"/>
        </w:rPr>
        <w:t>t</w:t>
      </w:r>
      <w:r w:rsidRPr="001E4E63">
        <w:rPr>
          <w:rFonts w:eastAsia="Times New Roman" w:cs="Times New Roman"/>
          <w:lang w:eastAsia="et-EE"/>
        </w:rPr>
        <w:t>e ja õppeasutuseväliste tugispetsialistide koostöö</w:t>
      </w:r>
      <w:r>
        <w:rPr>
          <w:rFonts w:eastAsia="Times New Roman" w:cs="Times New Roman"/>
          <w:lang w:eastAsia="et-EE"/>
        </w:rPr>
        <w:t>d</w:t>
      </w:r>
      <w:r w:rsidRPr="001E4E63">
        <w:rPr>
          <w:rFonts w:eastAsia="Times New Roman" w:cs="Times New Roman"/>
          <w:lang w:eastAsia="et-EE"/>
        </w:rPr>
        <w:t xml:space="preserve">. </w:t>
      </w:r>
      <w:r w:rsidR="00F04511">
        <w:rPr>
          <w:rFonts w:eastAsia="Times New Roman" w:cs="Times New Roman"/>
          <w:lang w:eastAsia="et-EE"/>
        </w:rPr>
        <w:t>Et tugiteenused oleksid tõhusamad ning paremini kättesaadavad, on vajalikud järgmised tegevused:</w:t>
      </w:r>
      <w:r w:rsidRPr="001E4E63">
        <w:rPr>
          <w:rFonts w:eastAsia="Times New Roman" w:cs="Times New Roman"/>
          <w:lang w:eastAsia="et-EE"/>
        </w:rPr>
        <w:t xml:space="preserve"> </w:t>
      </w:r>
    </w:p>
    <w:p w14:paraId="56EE5696" w14:textId="77777777" w:rsidR="00E3612B" w:rsidRPr="00F51D39" w:rsidRDefault="00AF75E4" w:rsidP="00F51D39">
      <w:pPr>
        <w:pStyle w:val="ListParagraph"/>
        <w:numPr>
          <w:ilvl w:val="0"/>
          <w:numId w:val="49"/>
        </w:numPr>
        <w:jc w:val="both"/>
      </w:pPr>
      <w:r w:rsidRPr="00F51D39">
        <w:rPr>
          <w:rFonts w:eastAsia="Times New Roman" w:cs="Times New Roman"/>
          <w:lang w:eastAsia="et-EE"/>
        </w:rPr>
        <w:t>töötatakse välja tugiteenuste standardid</w:t>
      </w:r>
      <w:r w:rsidR="00551D26">
        <w:rPr>
          <w:rFonts w:eastAsia="Times New Roman" w:cs="Times New Roman"/>
          <w:lang w:eastAsia="et-EE"/>
        </w:rPr>
        <w:t>, mis võimaldavad pakkuda ühtse kvaliteediga teenust piirkonnast sõltumata</w:t>
      </w:r>
      <w:r w:rsidR="00E3612B">
        <w:rPr>
          <w:rFonts w:eastAsia="Times New Roman" w:cs="Times New Roman"/>
          <w:lang w:eastAsia="et-EE"/>
        </w:rPr>
        <w:t>;</w:t>
      </w:r>
    </w:p>
    <w:p w14:paraId="56EE5697" w14:textId="19C327B4" w:rsidR="00E3612B" w:rsidRPr="00F51D39" w:rsidRDefault="00E3612B" w:rsidP="00F51D39">
      <w:pPr>
        <w:pStyle w:val="ListParagraph"/>
        <w:numPr>
          <w:ilvl w:val="0"/>
          <w:numId w:val="49"/>
        </w:numPr>
        <w:jc w:val="both"/>
      </w:pPr>
      <w:r>
        <w:rPr>
          <w:rFonts w:eastAsia="Times New Roman" w:cs="Times New Roman"/>
          <w:lang w:eastAsia="et-EE"/>
        </w:rPr>
        <w:t>tagatakse tugispetsialistide tõhus ettevalmistus</w:t>
      </w:r>
      <w:r w:rsidR="00F04511">
        <w:rPr>
          <w:rFonts w:eastAsia="Times New Roman" w:cs="Times New Roman"/>
          <w:lang w:eastAsia="et-EE"/>
        </w:rPr>
        <w:t xml:space="preserve"> ja täiendõpe</w:t>
      </w:r>
      <w:r>
        <w:rPr>
          <w:rFonts w:eastAsia="Times New Roman" w:cs="Times New Roman"/>
          <w:lang w:eastAsia="et-EE"/>
        </w:rPr>
        <w:t>, et nad tunneksid õppe</w:t>
      </w:r>
      <w:r w:rsidR="00AF75E4" w:rsidRPr="00F51D39">
        <w:rPr>
          <w:rFonts w:eastAsia="Times New Roman" w:cs="Times New Roman"/>
          <w:lang w:eastAsia="et-EE"/>
        </w:rPr>
        <w:t>asutuse spetsiifikat, oska</w:t>
      </w:r>
      <w:r>
        <w:rPr>
          <w:rFonts w:eastAsia="Times New Roman" w:cs="Times New Roman"/>
          <w:lang w:eastAsia="et-EE"/>
        </w:rPr>
        <w:t>ksid</w:t>
      </w:r>
      <w:r w:rsidR="00AF75E4" w:rsidRPr="00F51D39">
        <w:rPr>
          <w:rFonts w:eastAsia="Times New Roman" w:cs="Times New Roman"/>
          <w:lang w:eastAsia="et-EE"/>
        </w:rPr>
        <w:t xml:space="preserve"> kaasata kolleege probleemide lahendamisse ja ennetustöösse</w:t>
      </w:r>
      <w:r w:rsidR="00887B5D">
        <w:rPr>
          <w:rFonts w:eastAsia="Times New Roman" w:cs="Times New Roman"/>
          <w:lang w:eastAsia="et-EE"/>
        </w:rPr>
        <w:t>.</w:t>
      </w:r>
    </w:p>
    <w:p w14:paraId="56EE5699" w14:textId="77777777" w:rsidR="00756E76" w:rsidRDefault="00357857" w:rsidP="00BF652E">
      <w:pPr>
        <w:jc w:val="both"/>
      </w:pPr>
      <w:r>
        <w:rPr>
          <w:b/>
        </w:rPr>
        <w:t>5.5</w:t>
      </w:r>
      <w:r w:rsidR="00BF652E">
        <w:rPr>
          <w:b/>
        </w:rPr>
        <w:t xml:space="preserve">. </w:t>
      </w:r>
      <w:r w:rsidR="00AF75E4" w:rsidRPr="00BF652E">
        <w:rPr>
          <w:b/>
        </w:rPr>
        <w:t>Nõrgema konkurentsivõimega inimestele õppes osalemiseks</w:t>
      </w:r>
      <w:r w:rsidR="00AF75E4" w:rsidRPr="001E4E63">
        <w:t xml:space="preserve"> </w:t>
      </w:r>
      <w:r w:rsidR="00AF75E4" w:rsidRPr="00BF652E">
        <w:rPr>
          <w:b/>
        </w:rPr>
        <w:t>tingimuste loomine</w:t>
      </w:r>
      <w:r w:rsidR="00AF75E4">
        <w:t xml:space="preserve"> </w:t>
      </w:r>
      <w:r w:rsidR="00AF75E4" w:rsidRPr="001E4E63">
        <w:t>(</w:t>
      </w:r>
      <w:r w:rsidR="00460837">
        <w:t xml:space="preserve">noored emad, </w:t>
      </w:r>
      <w:r w:rsidR="00D94C40">
        <w:t xml:space="preserve">vanemaealised inimesed, </w:t>
      </w:r>
      <w:r w:rsidR="00230510" w:rsidRPr="00BF652E">
        <w:rPr>
          <w:rFonts w:ascii="Calibri" w:hAnsi="Calibri"/>
        </w:rPr>
        <w:t>eesti keelt mitteoskavad</w:t>
      </w:r>
      <w:r w:rsidR="00230510">
        <w:rPr>
          <w:rFonts w:ascii="Calibri" w:hAnsi="Calibri"/>
        </w:rPr>
        <w:t xml:space="preserve"> inimesed,</w:t>
      </w:r>
      <w:r w:rsidR="00230510" w:rsidRPr="00BF652E">
        <w:rPr>
          <w:rFonts w:ascii="Calibri" w:hAnsi="Calibri"/>
        </w:rPr>
        <w:t xml:space="preserve"> </w:t>
      </w:r>
      <w:r w:rsidR="00AF75E4" w:rsidRPr="00BF652E">
        <w:rPr>
          <w:rFonts w:ascii="Calibri" w:hAnsi="Calibri"/>
        </w:rPr>
        <w:t>keskhariduseta inimesed, töötud</w:t>
      </w:r>
      <w:r w:rsidR="00230510">
        <w:rPr>
          <w:rFonts w:ascii="Calibri" w:hAnsi="Calibri"/>
        </w:rPr>
        <w:t xml:space="preserve"> inimesed</w:t>
      </w:r>
      <w:r w:rsidR="00AF75E4" w:rsidRPr="00BF652E">
        <w:rPr>
          <w:rFonts w:ascii="Calibri" w:hAnsi="Calibri"/>
        </w:rPr>
        <w:t>, puu</w:t>
      </w:r>
      <w:r w:rsidR="00327C42">
        <w:rPr>
          <w:rFonts w:ascii="Calibri" w:hAnsi="Calibri"/>
        </w:rPr>
        <w:t>etega</w:t>
      </w:r>
      <w:r w:rsidR="00AF75E4" w:rsidRPr="00BF652E">
        <w:rPr>
          <w:rFonts w:ascii="Calibri" w:hAnsi="Calibri"/>
        </w:rPr>
        <w:t xml:space="preserve"> inimesed</w:t>
      </w:r>
      <w:r w:rsidR="00460837">
        <w:rPr>
          <w:rFonts w:ascii="Calibri" w:hAnsi="Calibri"/>
        </w:rPr>
        <w:t>, uussisserändajad</w:t>
      </w:r>
      <w:r w:rsidR="00AF75E4" w:rsidRPr="00BF652E">
        <w:rPr>
          <w:rFonts w:ascii="Calibri" w:hAnsi="Calibri"/>
        </w:rPr>
        <w:t xml:space="preserve"> jt)</w:t>
      </w:r>
      <w:r w:rsidR="00AF75E4" w:rsidRPr="001E4E63">
        <w:t xml:space="preserve">, et nad saaksid omandada kvalifikatsiooni ning </w:t>
      </w:r>
      <w:r w:rsidR="006B574B">
        <w:t>teostada</w:t>
      </w:r>
      <w:r w:rsidR="006B574B" w:rsidRPr="001E4E63">
        <w:t xml:space="preserve"> </w:t>
      </w:r>
      <w:r w:rsidR="00AF75E4" w:rsidRPr="001E4E63">
        <w:t>end parimal võimalikul viisil töö</w:t>
      </w:r>
      <w:r w:rsidR="006B574B">
        <w:t>- ja pere</w:t>
      </w:r>
      <w:r w:rsidR="00AF75E4" w:rsidRPr="001E4E63">
        <w:t>elus</w:t>
      </w:r>
      <w:r w:rsidR="006B574B">
        <w:t>.</w:t>
      </w:r>
      <w:r w:rsidR="00AF75E4" w:rsidRPr="001E4E63">
        <w:t xml:space="preserve"> </w:t>
      </w:r>
    </w:p>
    <w:p w14:paraId="56EE569A" w14:textId="77777777" w:rsidR="00AF75E4" w:rsidRPr="001E4E63" w:rsidRDefault="00756E76" w:rsidP="00BF652E">
      <w:pPr>
        <w:jc w:val="both"/>
      </w:pPr>
      <w:r>
        <w:t xml:space="preserve">Vajalikud tegevused </w:t>
      </w:r>
      <w:r w:rsidR="00AF75E4" w:rsidRPr="001E4E63">
        <w:t>riigi ja kohaliku omavalitsuste koostöös:</w:t>
      </w:r>
    </w:p>
    <w:p w14:paraId="56EE569B" w14:textId="77777777" w:rsidR="006B574B" w:rsidRPr="00860A1B" w:rsidRDefault="00E77476" w:rsidP="006B574B">
      <w:pPr>
        <w:pStyle w:val="ListParagraph"/>
        <w:numPr>
          <w:ilvl w:val="0"/>
          <w:numId w:val="13"/>
        </w:numPr>
        <w:jc w:val="both"/>
      </w:pPr>
      <w:r>
        <w:rPr>
          <w:rFonts w:ascii="Calibri" w:hAnsi="Calibri"/>
        </w:rPr>
        <w:t>sihtrühmadele</w:t>
      </w:r>
      <w:r>
        <w:t xml:space="preserve"> </w:t>
      </w:r>
      <w:r w:rsidR="00AF75E4">
        <w:t>pakutakse</w:t>
      </w:r>
      <w:r w:rsidR="00357857">
        <w:t xml:space="preserve"> nende </w:t>
      </w:r>
      <w:r w:rsidR="00AF188B">
        <w:t>vajadustest lähtuvalt</w:t>
      </w:r>
      <w:r w:rsidR="00AF75E4">
        <w:t xml:space="preserve"> paindlikke koolituskursusi </w:t>
      </w:r>
      <w:r w:rsidR="00D94C40">
        <w:t>võtmepädevuste arendamiseks ja õpivalmiduse suurendamiseks</w:t>
      </w:r>
      <w:r w:rsidR="006B574B">
        <w:t xml:space="preserve">, luuakse erinevates kultuuriasutustes ja õpikeskustes (raamatukogud, vabahariduskeskused jms) nii </w:t>
      </w:r>
      <w:r w:rsidR="006B574B" w:rsidRPr="006B574B">
        <w:t>individuaalse kui rühmatöö võimalusi õppimiseks</w:t>
      </w:r>
      <w:r w:rsidR="00AF188B">
        <w:t xml:space="preserve"> ja enesetäiendamiseks ning pakutakse</w:t>
      </w:r>
      <w:r w:rsidR="00357857">
        <w:t xml:space="preserve"> suunitletud</w:t>
      </w:r>
      <w:r w:rsidR="00AF75E4">
        <w:t xml:space="preserve"> karjäärinõustamist</w:t>
      </w:r>
      <w:r w:rsidR="00AF75E4">
        <w:rPr>
          <w:rFonts w:ascii="Calibri" w:hAnsi="Calibri"/>
        </w:rPr>
        <w:t>;</w:t>
      </w:r>
    </w:p>
    <w:p w14:paraId="56EE569C" w14:textId="77777777" w:rsidR="00AF75E4" w:rsidRDefault="00AF75E4" w:rsidP="004B46A2">
      <w:pPr>
        <w:pStyle w:val="ListParagraph"/>
        <w:numPr>
          <w:ilvl w:val="0"/>
          <w:numId w:val="13"/>
        </w:numPr>
        <w:jc w:val="both"/>
      </w:pPr>
      <w:r>
        <w:t xml:space="preserve">täiskasvanute gümnaasiumide </w:t>
      </w:r>
      <w:r w:rsidR="00357857">
        <w:t xml:space="preserve">toimimise </w:t>
      </w:r>
      <w:r w:rsidR="00CF2E2C">
        <w:t>põhimõtted viiakse vastavusse elukestva õppe strateegia eesmärkidega</w:t>
      </w:r>
      <w:r w:rsidR="00E77476">
        <w:t xml:space="preserve"> </w:t>
      </w:r>
      <w:r>
        <w:t xml:space="preserve">(sh </w:t>
      </w:r>
      <w:r w:rsidR="00A86AA5">
        <w:t xml:space="preserve">võimaldades </w:t>
      </w:r>
      <w:r>
        <w:t>VÕTA rakendami</w:t>
      </w:r>
      <w:r w:rsidR="00A86AA5">
        <w:t>st</w:t>
      </w:r>
      <w:r>
        <w:t xml:space="preserve"> keskhariduse tasemel);</w:t>
      </w:r>
    </w:p>
    <w:p w14:paraId="56EE569D" w14:textId="77777777" w:rsidR="00AF75E4" w:rsidRDefault="00E77476" w:rsidP="004B46A2">
      <w:pPr>
        <w:pStyle w:val="ListParagraph"/>
        <w:numPr>
          <w:ilvl w:val="0"/>
          <w:numId w:val="13"/>
        </w:numPr>
        <w:jc w:val="both"/>
      </w:pPr>
      <w:r>
        <w:t xml:space="preserve">tööandjate ning sihtrühma hulgas </w:t>
      </w:r>
      <w:r w:rsidR="00AF75E4">
        <w:t>populariseeritakse õpipoisiõppe skeemi;</w:t>
      </w:r>
    </w:p>
    <w:p w14:paraId="56EE569E" w14:textId="77777777" w:rsidR="00AF75E4" w:rsidRDefault="00AF75E4" w:rsidP="004B46A2">
      <w:pPr>
        <w:pStyle w:val="ListParagraph"/>
        <w:numPr>
          <w:ilvl w:val="0"/>
          <w:numId w:val="13"/>
        </w:numPr>
        <w:jc w:val="both"/>
      </w:pPr>
      <w:r>
        <w:rPr>
          <w:rFonts w:ascii="Calibri" w:hAnsi="Calibri"/>
        </w:rPr>
        <w:t>pakutakse tugiteenuseid (õppenõustamine, karjääriinfo, sõidutoetus, lapsehoiuteenus), et töötavatel inimestel oleks võimalik õppetöös/ümberõppes osaleda;</w:t>
      </w:r>
    </w:p>
    <w:p w14:paraId="56EE569F" w14:textId="77777777" w:rsidR="00AF75E4" w:rsidRDefault="00AF75E4" w:rsidP="004B46A2">
      <w:pPr>
        <w:pStyle w:val="ListParagraph"/>
        <w:numPr>
          <w:ilvl w:val="0"/>
          <w:numId w:val="13"/>
        </w:numPr>
        <w:jc w:val="both"/>
      </w:pPr>
      <w:r>
        <w:t>muud sotsiaalteenused ja -toetused sidustatakse karjääri- ja tööturul</w:t>
      </w:r>
      <w:r w:rsidR="00327C42">
        <w:t>e naasmise</w:t>
      </w:r>
      <w:r w:rsidR="000A5452">
        <w:t xml:space="preserve"> õpet</w:t>
      </w:r>
      <w:r w:rsidR="00327C42">
        <w:t xml:space="preserve"> </w:t>
      </w:r>
      <w:r w:rsidR="000A5452">
        <w:t xml:space="preserve">toetavate </w:t>
      </w:r>
      <w:r w:rsidR="00327C42">
        <w:t>teenustega;</w:t>
      </w:r>
    </w:p>
    <w:p w14:paraId="56EE56A0" w14:textId="77777777" w:rsidR="00327C42" w:rsidRDefault="00327C42" w:rsidP="004B46A2">
      <w:pPr>
        <w:pStyle w:val="ListParagraph"/>
        <w:numPr>
          <w:ilvl w:val="0"/>
          <w:numId w:val="13"/>
        </w:numPr>
        <w:jc w:val="both"/>
      </w:pPr>
      <w:r>
        <w:t>muu emakeelega inimestele pakutakse eesti keele õppimise võimalusi ja muid Eesti ühiskonnas</w:t>
      </w:r>
      <w:r w:rsidR="000D36D9">
        <w:t xml:space="preserve"> kohanemist ja</w:t>
      </w:r>
      <w:r>
        <w:t xml:space="preserve"> lõimumis</w:t>
      </w:r>
      <w:r w:rsidR="000D36D9">
        <w:t>t soodustavaid teenuseid</w:t>
      </w:r>
      <w:r w:rsidR="0095308E">
        <w:t>.</w:t>
      </w:r>
      <w:r w:rsidR="000D36D9">
        <w:t xml:space="preserve"> </w:t>
      </w:r>
    </w:p>
    <w:p w14:paraId="6ED6EFFE" w14:textId="77777777" w:rsidR="00887B5D" w:rsidRDefault="00887B5D" w:rsidP="00887B5D">
      <w:pPr>
        <w:pStyle w:val="ListParagraph"/>
        <w:jc w:val="both"/>
      </w:pPr>
    </w:p>
    <w:p w14:paraId="56EE56A1" w14:textId="77777777" w:rsidR="009F2D9C" w:rsidRDefault="00357857" w:rsidP="00AF75E4">
      <w:pPr>
        <w:jc w:val="both"/>
        <w:rPr>
          <w:b/>
        </w:rPr>
      </w:pPr>
      <w:r>
        <w:rPr>
          <w:b/>
        </w:rPr>
        <w:t>5.6</w:t>
      </w:r>
      <w:r w:rsidR="00BF652E">
        <w:rPr>
          <w:b/>
        </w:rPr>
        <w:t xml:space="preserve">. </w:t>
      </w:r>
      <w:r w:rsidR="00AF75E4" w:rsidRPr="001E4E63">
        <w:rPr>
          <w:b/>
        </w:rPr>
        <w:t>Üliõpilaste</w:t>
      </w:r>
      <w:r w:rsidR="009F2D9C">
        <w:rPr>
          <w:b/>
        </w:rPr>
        <w:t>, kutseõppe-</w:t>
      </w:r>
      <w:r w:rsidR="00AF75E4" w:rsidRPr="001E4E63">
        <w:rPr>
          <w:b/>
        </w:rPr>
        <w:t xml:space="preserve"> ja </w:t>
      </w:r>
      <w:r w:rsidR="009F2D9C">
        <w:rPr>
          <w:b/>
        </w:rPr>
        <w:t>üldkeskhariduse õpilaste</w:t>
      </w:r>
      <w:r w:rsidR="00AF75E4" w:rsidRPr="001E4E63">
        <w:rPr>
          <w:b/>
        </w:rPr>
        <w:t xml:space="preserve"> toetusskeemide rakendamine</w:t>
      </w:r>
    </w:p>
    <w:p w14:paraId="56EE56A2" w14:textId="77777777" w:rsidR="00AF75E4" w:rsidRPr="001E4E63" w:rsidRDefault="00AF75E4" w:rsidP="00AF75E4">
      <w:pPr>
        <w:jc w:val="both"/>
        <w:rPr>
          <w:b/>
        </w:rPr>
      </w:pPr>
      <w:r w:rsidRPr="000F2B0D">
        <w:t>Kõrghariduse tasemel liigutakse</w:t>
      </w:r>
      <w:r>
        <w:rPr>
          <w:b/>
        </w:rPr>
        <w:t xml:space="preserve"> </w:t>
      </w:r>
      <w:r w:rsidRPr="001E4E63">
        <w:t xml:space="preserve">suunas, et üliõpilaskond peegeldaks </w:t>
      </w:r>
      <w:r>
        <w:t xml:space="preserve">sisseastumisest lõpetamiseni </w:t>
      </w:r>
      <w:r w:rsidRPr="001E4E63">
        <w:t xml:space="preserve">ühiskonna </w:t>
      </w:r>
      <w:r>
        <w:t>s</w:t>
      </w:r>
      <w:r w:rsidRPr="001E4E63">
        <w:t>truktuuri</w:t>
      </w:r>
      <w:r>
        <w:t>,</w:t>
      </w:r>
      <w:r w:rsidRPr="001E4E63">
        <w:t xml:space="preserve"> sh soolist, keelelist ja sotsiaalmajanduslikku mõõdet ning toetaks üliõpilasi riigile oluliste suundade valikul. </w:t>
      </w:r>
      <w:r w:rsidR="009F2D9C">
        <w:t>Seiratakse ja arendatakse edasi üliõpilaste vajaduspõhist</w:t>
      </w:r>
      <w:r w:rsidR="009F2D9C" w:rsidRPr="009F2D9C">
        <w:t xml:space="preserve"> toetus- ja laenuskeemi ning stipendiumide süsteemi</w:t>
      </w:r>
      <w:r w:rsidR="00FA5DA4">
        <w:t>.</w:t>
      </w:r>
      <w:r w:rsidR="009F2D9C" w:rsidRPr="009F2D9C">
        <w:t xml:space="preserve"> </w:t>
      </w:r>
      <w:r w:rsidR="004467E1" w:rsidRPr="004467E1">
        <w:t>Gümnaasiumihariduse koondumisel maakondlikesse keskustesse luuakse vajaduspõhiste toetuste süsteem ja õpilaskodu kasutamise võimalused ka gümnaasiumiõpilastele</w:t>
      </w:r>
    </w:p>
    <w:p w14:paraId="56EE56A3" w14:textId="77777777" w:rsidR="00756E76" w:rsidRDefault="00CF2E2C" w:rsidP="00AF75E4">
      <w:pPr>
        <w:jc w:val="both"/>
      </w:pPr>
      <w:r>
        <w:rPr>
          <w:b/>
        </w:rPr>
        <w:t>5.7</w:t>
      </w:r>
      <w:r w:rsidR="00BF652E">
        <w:rPr>
          <w:b/>
        </w:rPr>
        <w:t xml:space="preserve">. </w:t>
      </w:r>
      <w:r w:rsidR="00460837">
        <w:rPr>
          <w:b/>
        </w:rPr>
        <w:t xml:space="preserve">Eesti keelest erineva </w:t>
      </w:r>
      <w:r w:rsidR="00AF75E4" w:rsidRPr="001E4E63">
        <w:rPr>
          <w:b/>
        </w:rPr>
        <w:t>õppekeelega põhikooli lõpetajatele tagatakse võimalused eesti keele oskuse omandamiseks</w:t>
      </w:r>
      <w:r w:rsidR="00AF75E4" w:rsidRPr="001E4E63">
        <w:t xml:space="preserve"> iseseisva keelekasutaja tasemel, mis on vajalik õpingute jätkamiseks gümnaasiumis ja/või kutseõppeasutuses. </w:t>
      </w:r>
    </w:p>
    <w:p w14:paraId="56EE56A4" w14:textId="77777777" w:rsidR="00AF75E4" w:rsidRPr="001E4E63" w:rsidRDefault="00756E76" w:rsidP="00AF75E4">
      <w:pPr>
        <w:jc w:val="both"/>
      </w:pPr>
      <w:r>
        <w:t>Vajalikud tegevused</w:t>
      </w:r>
      <w:r w:rsidR="00756F1E">
        <w:t>:</w:t>
      </w:r>
      <w:r w:rsidR="00AF75E4" w:rsidRPr="001E4E63">
        <w:t xml:space="preserve"> </w:t>
      </w:r>
    </w:p>
    <w:p w14:paraId="56EE56A5" w14:textId="77777777" w:rsidR="00AF75E4" w:rsidRPr="001E4E63" w:rsidRDefault="00AF75E4" w:rsidP="004B46A2">
      <w:pPr>
        <w:pStyle w:val="ListParagraph"/>
        <w:numPr>
          <w:ilvl w:val="0"/>
          <w:numId w:val="35"/>
        </w:numPr>
        <w:jc w:val="both"/>
      </w:pPr>
      <w:r w:rsidRPr="001E4E63">
        <w:t xml:space="preserve">riikliku programmi raames </w:t>
      </w:r>
      <w:r w:rsidR="00A841C6" w:rsidRPr="001E4E63">
        <w:t xml:space="preserve">toetatakse </w:t>
      </w:r>
      <w:r w:rsidRPr="001E4E63">
        <w:t>eri algatusi eesti keele õppe taseme parandamiseks vene õ</w:t>
      </w:r>
      <w:r w:rsidR="009F2D9C">
        <w:t>ppekeelega koolis;</w:t>
      </w:r>
      <w:r w:rsidR="00A841C6">
        <w:t xml:space="preserve"> </w:t>
      </w:r>
    </w:p>
    <w:p w14:paraId="56EE56A6" w14:textId="77777777" w:rsidR="00AF75E4" w:rsidRPr="001E4E63" w:rsidRDefault="00AF75E4" w:rsidP="004B46A2">
      <w:pPr>
        <w:pStyle w:val="ListParagraph"/>
        <w:numPr>
          <w:ilvl w:val="0"/>
          <w:numId w:val="11"/>
        </w:numPr>
        <w:jc w:val="both"/>
      </w:pPr>
      <w:r w:rsidRPr="001E4E63">
        <w:t>toetatakse muu emakeelega laste õpinguid eesti õppekeelega koolis (õpetajate täiend</w:t>
      </w:r>
      <w:r>
        <w:t>us</w:t>
      </w:r>
      <w:r w:rsidRPr="001E4E63">
        <w:t xml:space="preserve">koolitus, pikapäevarühmad, mitmekultuurilisuse õpe,  kultuurilugu jmt); </w:t>
      </w:r>
    </w:p>
    <w:p w14:paraId="56EE56A7" w14:textId="77777777" w:rsidR="00AF75E4" w:rsidRPr="001E4E63" w:rsidRDefault="00AF75E4" w:rsidP="004B46A2">
      <w:pPr>
        <w:pStyle w:val="ListParagraph"/>
        <w:numPr>
          <w:ilvl w:val="0"/>
          <w:numId w:val="11"/>
        </w:numPr>
        <w:jc w:val="both"/>
      </w:pPr>
      <w:r w:rsidRPr="001E4E63">
        <w:rPr>
          <w:rFonts w:ascii="Calibri" w:hAnsi="Calibri" w:cs="Tahoma"/>
          <w:color w:val="000000"/>
        </w:rPr>
        <w:t xml:space="preserve">koolieelsetes lasteasutustes korraldatakse eakohaseid meetodeid kasutades </w:t>
      </w:r>
      <w:r w:rsidR="009468EB" w:rsidRPr="001E4E63">
        <w:rPr>
          <w:rFonts w:ascii="Calibri" w:hAnsi="Calibri" w:cs="Tahoma"/>
          <w:color w:val="000000"/>
        </w:rPr>
        <w:t>kvaliteet</w:t>
      </w:r>
      <w:r w:rsidR="009468EB">
        <w:rPr>
          <w:rFonts w:ascii="Calibri" w:hAnsi="Calibri" w:cs="Tahoma"/>
          <w:color w:val="000000"/>
        </w:rPr>
        <w:t>set</w:t>
      </w:r>
      <w:r w:rsidR="009468EB" w:rsidRPr="001E4E63">
        <w:rPr>
          <w:rFonts w:ascii="Calibri" w:hAnsi="Calibri" w:cs="Tahoma"/>
          <w:color w:val="000000"/>
        </w:rPr>
        <w:t xml:space="preserve"> </w:t>
      </w:r>
      <w:r w:rsidRPr="001E4E63">
        <w:rPr>
          <w:rFonts w:ascii="Calibri" w:hAnsi="Calibri" w:cs="Tahoma"/>
          <w:color w:val="000000"/>
        </w:rPr>
        <w:t>eesti keele õpe</w:t>
      </w:r>
      <w:r w:rsidR="009468EB">
        <w:rPr>
          <w:rFonts w:ascii="Calibri" w:hAnsi="Calibri" w:cs="Tahoma"/>
          <w:color w:val="000000"/>
        </w:rPr>
        <w:t>t</w:t>
      </w:r>
      <w:r w:rsidRPr="001E4E63">
        <w:rPr>
          <w:rFonts w:ascii="Calibri" w:hAnsi="Calibri" w:cs="Tahoma"/>
          <w:color w:val="000000"/>
        </w:rPr>
        <w:t>, lastele pakutakse eestikeelseid tegevusi, toetatakse muukeelsete laste õpet eesti lasteaedades.</w:t>
      </w:r>
    </w:p>
    <w:p w14:paraId="56EE56A8" w14:textId="77777777" w:rsidR="00AF75E4" w:rsidRPr="001E4E63" w:rsidRDefault="00AF75E4" w:rsidP="00AF75E4">
      <w:pPr>
        <w:pStyle w:val="ListParagraph"/>
        <w:rPr>
          <w:b/>
        </w:rPr>
      </w:pPr>
    </w:p>
    <w:p w14:paraId="56EE56A9" w14:textId="77777777" w:rsidR="00AF75E4" w:rsidRPr="001E4E63" w:rsidRDefault="00AF75E4" w:rsidP="0053311E">
      <w:pPr>
        <w:pStyle w:val="Heading1"/>
      </w:pPr>
      <w:bookmarkStart w:id="11" w:name="_Toc376952252"/>
      <w:r w:rsidRPr="001E4E63">
        <w:t xml:space="preserve">Strateegia </w:t>
      </w:r>
      <w:r w:rsidR="00355E17">
        <w:t>rakendamine</w:t>
      </w:r>
      <w:bookmarkEnd w:id="11"/>
      <w:r w:rsidRPr="001E4E63">
        <w:tab/>
      </w:r>
    </w:p>
    <w:p w14:paraId="56EE56AA" w14:textId="77777777" w:rsidR="00AF75E4" w:rsidRPr="001E4E63" w:rsidRDefault="00AF75E4" w:rsidP="00AF75E4">
      <w:pPr>
        <w:pStyle w:val="BodyText"/>
        <w:jc w:val="both"/>
        <w:rPr>
          <w:rFonts w:ascii="Calibri" w:hAnsi="Calibri"/>
          <w:sz w:val="22"/>
          <w:szCs w:val="22"/>
        </w:rPr>
      </w:pPr>
    </w:p>
    <w:p w14:paraId="56EE56AB" w14:textId="77777777" w:rsidR="00AF75E4" w:rsidRPr="000B7759" w:rsidRDefault="00AF75E4" w:rsidP="00AF75E4">
      <w:pPr>
        <w:pStyle w:val="BodyText"/>
        <w:jc w:val="both"/>
        <w:rPr>
          <w:rFonts w:ascii="Calibri" w:hAnsi="Calibri"/>
          <w:color w:val="000000" w:themeColor="text1"/>
          <w:sz w:val="22"/>
          <w:szCs w:val="22"/>
        </w:rPr>
      </w:pPr>
      <w:r w:rsidRPr="001E4E63">
        <w:rPr>
          <w:rFonts w:ascii="Calibri" w:hAnsi="Calibri"/>
          <w:sz w:val="22"/>
          <w:szCs w:val="22"/>
        </w:rPr>
        <w:t xml:space="preserve">Strateegia rakendamist koordineerib </w:t>
      </w:r>
      <w:r>
        <w:rPr>
          <w:rFonts w:ascii="Calibri" w:hAnsi="Calibri"/>
          <w:sz w:val="22"/>
          <w:szCs w:val="22"/>
        </w:rPr>
        <w:t>Haridus- ja Teadusministeerium</w:t>
      </w:r>
      <w:r w:rsidRPr="001E4E63">
        <w:rPr>
          <w:rFonts w:ascii="Calibri" w:hAnsi="Calibri"/>
          <w:sz w:val="22"/>
          <w:szCs w:val="22"/>
        </w:rPr>
        <w:t xml:space="preserve"> ja selle elluviimisse panustavad teised ministeeriumid</w:t>
      </w:r>
      <w:r w:rsidR="00B42002">
        <w:rPr>
          <w:rFonts w:ascii="Calibri" w:hAnsi="Calibri"/>
          <w:sz w:val="22"/>
          <w:szCs w:val="22"/>
        </w:rPr>
        <w:t>,</w:t>
      </w:r>
      <w:r w:rsidRPr="000B7759">
        <w:rPr>
          <w:rFonts w:ascii="Calibri" w:hAnsi="Calibri"/>
          <w:color w:val="000000" w:themeColor="text1"/>
          <w:sz w:val="22"/>
          <w:szCs w:val="22"/>
        </w:rPr>
        <w:t xml:space="preserve"> </w:t>
      </w:r>
      <w:r w:rsidR="00B42002">
        <w:rPr>
          <w:rFonts w:ascii="Calibri" w:hAnsi="Calibri"/>
          <w:color w:val="000000" w:themeColor="text1"/>
          <w:sz w:val="22"/>
          <w:szCs w:val="22"/>
        </w:rPr>
        <w:t>kooli pidajatena kohalikud omavalitsused, tööandjate ja töövõtjate esindusorganisatsioonid</w:t>
      </w:r>
      <w:r w:rsidRPr="000B7759">
        <w:rPr>
          <w:rFonts w:ascii="Calibri" w:hAnsi="Calibri"/>
          <w:color w:val="000000" w:themeColor="text1"/>
          <w:sz w:val="22"/>
          <w:szCs w:val="22"/>
        </w:rPr>
        <w:t xml:space="preserve">, </w:t>
      </w:r>
      <w:r w:rsidR="00B42002">
        <w:rPr>
          <w:rFonts w:ascii="Calibri" w:hAnsi="Calibri"/>
          <w:color w:val="000000" w:themeColor="text1"/>
          <w:sz w:val="22"/>
          <w:szCs w:val="22"/>
        </w:rPr>
        <w:t xml:space="preserve">kutse- ja erialaliidud, </w:t>
      </w:r>
      <w:r w:rsidRPr="000B7759">
        <w:rPr>
          <w:rFonts w:ascii="Calibri" w:hAnsi="Calibri"/>
          <w:color w:val="000000" w:themeColor="text1"/>
          <w:sz w:val="22"/>
          <w:szCs w:val="22"/>
        </w:rPr>
        <w:t>õppijad, õpetajad, õppeasutuste juhid jne.</w:t>
      </w:r>
    </w:p>
    <w:p w14:paraId="56EE56AC" w14:textId="77777777" w:rsidR="00AF75E4" w:rsidRPr="001E4E63" w:rsidRDefault="00AF75E4" w:rsidP="00AF75E4">
      <w:pPr>
        <w:pStyle w:val="BodyText"/>
        <w:jc w:val="both"/>
        <w:rPr>
          <w:rFonts w:ascii="Calibri" w:hAnsi="Calibri"/>
          <w:sz w:val="22"/>
          <w:szCs w:val="22"/>
        </w:rPr>
      </w:pPr>
    </w:p>
    <w:p w14:paraId="56EE56AD" w14:textId="77777777" w:rsidR="00AF75E4" w:rsidRPr="001E4E63" w:rsidRDefault="00AF75E4" w:rsidP="00AF75E4">
      <w:pPr>
        <w:pStyle w:val="BodyText"/>
        <w:jc w:val="both"/>
        <w:rPr>
          <w:rFonts w:ascii="Calibri" w:hAnsi="Calibri"/>
          <w:sz w:val="22"/>
          <w:szCs w:val="22"/>
        </w:rPr>
      </w:pPr>
      <w:r w:rsidRPr="001E4E63">
        <w:rPr>
          <w:rFonts w:ascii="Calibri" w:hAnsi="Calibri"/>
          <w:sz w:val="22"/>
          <w:szCs w:val="22"/>
        </w:rPr>
        <w:t>Strateegia elluviimise seiramiseks kutsutakse kokku kuni 15liikmeline elukestva õppe strateegia juhtkomisjon, kuhu kuuluvad haridus</w:t>
      </w:r>
      <w:r w:rsidR="00E7341F">
        <w:rPr>
          <w:rFonts w:ascii="Calibri" w:hAnsi="Calibri"/>
          <w:sz w:val="22"/>
          <w:szCs w:val="22"/>
        </w:rPr>
        <w:t>valdkonna</w:t>
      </w:r>
      <w:r w:rsidR="00E7341F" w:rsidRPr="001E4E63">
        <w:rPr>
          <w:rFonts w:ascii="Calibri" w:hAnsi="Calibri"/>
          <w:sz w:val="22"/>
          <w:szCs w:val="22"/>
        </w:rPr>
        <w:t xml:space="preserve"> </w:t>
      </w:r>
      <w:r w:rsidRPr="001E4E63">
        <w:rPr>
          <w:rFonts w:ascii="Calibri" w:hAnsi="Calibri"/>
          <w:sz w:val="22"/>
          <w:szCs w:val="22"/>
        </w:rPr>
        <w:t>ja töömaailma</w:t>
      </w:r>
      <w:r w:rsidRPr="001E4E63">
        <w:rPr>
          <w:rStyle w:val="FootnoteReference"/>
          <w:rFonts w:ascii="Calibri" w:hAnsi="Calibri"/>
          <w:sz w:val="22"/>
          <w:szCs w:val="22"/>
        </w:rPr>
        <w:footnoteReference w:id="16"/>
      </w:r>
      <w:r w:rsidRPr="001E4E63">
        <w:rPr>
          <w:rFonts w:ascii="Calibri" w:hAnsi="Calibri"/>
          <w:sz w:val="22"/>
          <w:szCs w:val="22"/>
        </w:rPr>
        <w:t xml:space="preserve"> eksperdid. Juhtkomisjon vaatab </w:t>
      </w:r>
      <w:r w:rsidR="004270C6">
        <w:rPr>
          <w:rFonts w:ascii="Calibri" w:hAnsi="Calibri"/>
          <w:sz w:val="22"/>
          <w:szCs w:val="22"/>
        </w:rPr>
        <w:t xml:space="preserve">iga kahe aasta järel </w:t>
      </w:r>
      <w:r w:rsidRPr="001E4E63">
        <w:rPr>
          <w:rFonts w:ascii="Calibri" w:hAnsi="Calibri"/>
          <w:sz w:val="22"/>
          <w:szCs w:val="22"/>
        </w:rPr>
        <w:t xml:space="preserve"> strateegia elluviimise tulemused ning teeb vajadusel ettepanekuid</w:t>
      </w:r>
      <w:r w:rsidR="00CF35D8">
        <w:rPr>
          <w:rFonts w:ascii="Calibri" w:hAnsi="Calibri"/>
          <w:sz w:val="22"/>
          <w:szCs w:val="22"/>
        </w:rPr>
        <w:t xml:space="preserve"> seoses strateegia rakendamisega</w:t>
      </w:r>
      <w:r w:rsidRPr="001E4E63">
        <w:rPr>
          <w:rFonts w:ascii="Calibri" w:hAnsi="Calibri"/>
          <w:sz w:val="22"/>
          <w:szCs w:val="22"/>
        </w:rPr>
        <w:t xml:space="preserve">. Strateegia eesmärkide saavutamise ning tegevuste elluviimise hindamiseks tellib </w:t>
      </w:r>
      <w:r>
        <w:rPr>
          <w:rFonts w:ascii="Calibri" w:hAnsi="Calibri"/>
          <w:sz w:val="22"/>
          <w:szCs w:val="22"/>
        </w:rPr>
        <w:t>Haridus- ja Teadusministeerium</w:t>
      </w:r>
      <w:r w:rsidRPr="001E4E63">
        <w:rPr>
          <w:rFonts w:ascii="Calibri" w:hAnsi="Calibri"/>
          <w:sz w:val="22"/>
          <w:szCs w:val="22"/>
        </w:rPr>
        <w:t xml:space="preserve"> 201</w:t>
      </w:r>
      <w:r w:rsidR="004270C6">
        <w:rPr>
          <w:rFonts w:ascii="Calibri" w:hAnsi="Calibri"/>
          <w:sz w:val="22"/>
          <w:szCs w:val="22"/>
        </w:rPr>
        <w:t>8</w:t>
      </w:r>
      <w:r w:rsidRPr="001E4E63">
        <w:rPr>
          <w:rFonts w:ascii="Calibri" w:hAnsi="Calibri"/>
          <w:sz w:val="22"/>
          <w:szCs w:val="22"/>
        </w:rPr>
        <w:t>. a sõltumatu hindamise, kus analüüsitakse, kas kokkulepitud eesmärkide saavutamiseks rakendatakse sobivaid meetmeid ning mida muut</w:t>
      </w:r>
      <w:r>
        <w:rPr>
          <w:rFonts w:ascii="Calibri" w:hAnsi="Calibri"/>
          <w:sz w:val="22"/>
          <w:szCs w:val="22"/>
        </w:rPr>
        <w:t>u</w:t>
      </w:r>
      <w:r w:rsidRPr="001E4E63">
        <w:rPr>
          <w:rFonts w:ascii="Calibri" w:hAnsi="Calibri"/>
          <w:sz w:val="22"/>
          <w:szCs w:val="22"/>
        </w:rPr>
        <w:t>nud olude</w:t>
      </w:r>
      <w:r>
        <w:rPr>
          <w:rFonts w:ascii="Calibri" w:hAnsi="Calibri"/>
          <w:sz w:val="22"/>
          <w:szCs w:val="22"/>
        </w:rPr>
        <w:t xml:space="preserve"> tõttu</w:t>
      </w:r>
      <w:r w:rsidRPr="001E4E63">
        <w:rPr>
          <w:rFonts w:ascii="Calibri" w:hAnsi="Calibri"/>
          <w:sz w:val="22"/>
          <w:szCs w:val="22"/>
        </w:rPr>
        <w:t xml:space="preserve"> muuta või kohandada. </w:t>
      </w:r>
    </w:p>
    <w:p w14:paraId="56EE56AE" w14:textId="77777777" w:rsidR="00355E17" w:rsidRDefault="00355E17" w:rsidP="00AF75E4">
      <w:pPr>
        <w:pStyle w:val="BodyText"/>
        <w:jc w:val="both"/>
        <w:rPr>
          <w:rFonts w:ascii="Calibri" w:hAnsi="Calibri"/>
          <w:sz w:val="22"/>
          <w:szCs w:val="22"/>
        </w:rPr>
      </w:pPr>
    </w:p>
    <w:p w14:paraId="56EE56AF" w14:textId="77777777" w:rsidR="00AF75E4" w:rsidRPr="001E4E63" w:rsidRDefault="00AF75E4" w:rsidP="00AF75E4">
      <w:pPr>
        <w:pStyle w:val="BodyText"/>
        <w:jc w:val="both"/>
        <w:rPr>
          <w:rFonts w:ascii="Calibri" w:hAnsi="Calibri"/>
          <w:sz w:val="22"/>
          <w:szCs w:val="22"/>
        </w:rPr>
      </w:pPr>
      <w:r w:rsidRPr="001E4E63">
        <w:rPr>
          <w:rFonts w:ascii="Calibri" w:hAnsi="Calibri"/>
          <w:sz w:val="22"/>
          <w:szCs w:val="22"/>
        </w:rPr>
        <w:t>Har</w:t>
      </w:r>
      <w:r w:rsidR="00A86AA5">
        <w:rPr>
          <w:rFonts w:ascii="Calibri" w:hAnsi="Calibri"/>
          <w:sz w:val="22"/>
          <w:szCs w:val="22"/>
        </w:rPr>
        <w:t>i</w:t>
      </w:r>
      <w:r w:rsidRPr="001E4E63">
        <w:rPr>
          <w:rFonts w:ascii="Calibri" w:hAnsi="Calibri"/>
          <w:sz w:val="22"/>
          <w:szCs w:val="22"/>
        </w:rPr>
        <w:t xml:space="preserve">dus- ja Teadusministeerium </w:t>
      </w:r>
      <w:r w:rsidR="005E2B4E">
        <w:rPr>
          <w:rFonts w:ascii="Calibri" w:hAnsi="Calibri"/>
          <w:sz w:val="22"/>
          <w:szCs w:val="22"/>
        </w:rPr>
        <w:t xml:space="preserve">koostab </w:t>
      </w:r>
      <w:r w:rsidRPr="001E4E63">
        <w:rPr>
          <w:rFonts w:ascii="Calibri" w:hAnsi="Calibri"/>
          <w:sz w:val="22"/>
          <w:szCs w:val="22"/>
        </w:rPr>
        <w:t>3 kuu jooksul strateegia vastuvõtmisest rakendusplaani. Rakendusplaanis näidatakse kavandat</w:t>
      </w:r>
      <w:r>
        <w:rPr>
          <w:rFonts w:ascii="Calibri" w:hAnsi="Calibri"/>
          <w:sz w:val="22"/>
          <w:szCs w:val="22"/>
        </w:rPr>
        <w:t>u</w:t>
      </w:r>
      <w:r w:rsidRPr="001E4E63">
        <w:rPr>
          <w:rFonts w:ascii="Calibri" w:hAnsi="Calibri"/>
          <w:sz w:val="22"/>
          <w:szCs w:val="22"/>
        </w:rPr>
        <w:t>d tegevus</w:t>
      </w:r>
      <w:r>
        <w:rPr>
          <w:rFonts w:ascii="Calibri" w:hAnsi="Calibri"/>
          <w:sz w:val="22"/>
          <w:szCs w:val="22"/>
        </w:rPr>
        <w:t>i</w:t>
      </w:r>
      <w:r w:rsidRPr="001E4E63">
        <w:rPr>
          <w:rFonts w:ascii="Calibri" w:hAnsi="Calibri"/>
          <w:sz w:val="22"/>
          <w:szCs w:val="22"/>
        </w:rPr>
        <w:t xml:space="preserve"> koos indikaatorite, eelarvete ja vastutajatega aastat</w:t>
      </w:r>
      <w:r>
        <w:rPr>
          <w:rFonts w:ascii="Calibri" w:hAnsi="Calibri"/>
          <w:sz w:val="22"/>
          <w:szCs w:val="22"/>
        </w:rPr>
        <w:t>i</w:t>
      </w:r>
      <w:r w:rsidRPr="001E4E63">
        <w:rPr>
          <w:rFonts w:ascii="Calibri" w:hAnsi="Calibri"/>
          <w:sz w:val="22"/>
          <w:szCs w:val="22"/>
        </w:rPr>
        <w:t xml:space="preserve">. </w:t>
      </w:r>
      <w:r w:rsidR="005E2B4E" w:rsidRPr="005E2B4E">
        <w:rPr>
          <w:rFonts w:ascii="Calibri" w:hAnsi="Calibri"/>
          <w:sz w:val="22"/>
          <w:szCs w:val="22"/>
        </w:rPr>
        <w:t>Rakendusplaanis täpsustatakse</w:t>
      </w:r>
      <w:r w:rsidR="005E2B4E">
        <w:rPr>
          <w:rFonts w:ascii="Calibri" w:hAnsi="Calibri"/>
          <w:sz w:val="22"/>
          <w:szCs w:val="22"/>
        </w:rPr>
        <w:t xml:space="preserve"> ka</w:t>
      </w:r>
      <w:r w:rsidR="005E2B4E" w:rsidRPr="005E2B4E">
        <w:rPr>
          <w:rFonts w:ascii="Calibri" w:hAnsi="Calibri"/>
          <w:sz w:val="22"/>
          <w:szCs w:val="22"/>
        </w:rPr>
        <w:t xml:space="preserve"> iga strateegilise eesmärgiga seotud olulisemaid tegevusi viitega programmile, mille kaudu toimub vastavate tegevuste juhtimine (sh planeerim</w:t>
      </w:r>
      <w:r w:rsidR="007554C8">
        <w:rPr>
          <w:rFonts w:ascii="Calibri" w:hAnsi="Calibri"/>
          <w:sz w:val="22"/>
          <w:szCs w:val="22"/>
        </w:rPr>
        <w:t>i</w:t>
      </w:r>
      <w:r w:rsidR="005E2B4E" w:rsidRPr="005E2B4E">
        <w:rPr>
          <w:rFonts w:ascii="Calibri" w:hAnsi="Calibri"/>
          <w:sz w:val="22"/>
          <w:szCs w:val="22"/>
        </w:rPr>
        <w:t xml:space="preserve">ne, elluviimine, aruandlus, jne).  </w:t>
      </w:r>
      <w:r w:rsidRPr="001E4E63">
        <w:rPr>
          <w:rFonts w:ascii="Calibri" w:hAnsi="Calibri"/>
          <w:sz w:val="22"/>
          <w:szCs w:val="22"/>
        </w:rPr>
        <w:t xml:space="preserve">Rakendusplaani uuendatakse igal aastal RESi koostamise käigus. </w:t>
      </w:r>
      <w:r>
        <w:rPr>
          <w:rFonts w:ascii="Calibri" w:hAnsi="Calibri"/>
          <w:sz w:val="22"/>
          <w:szCs w:val="22"/>
        </w:rPr>
        <w:t>Koos</w:t>
      </w:r>
      <w:r w:rsidRPr="001E4E63">
        <w:rPr>
          <w:rFonts w:ascii="Calibri" w:hAnsi="Calibri"/>
          <w:sz w:val="22"/>
          <w:szCs w:val="22"/>
        </w:rPr>
        <w:t xml:space="preserve"> uue</w:t>
      </w:r>
      <w:r w:rsidR="005E2B4E">
        <w:rPr>
          <w:rFonts w:ascii="Calibri" w:hAnsi="Calibri"/>
          <w:sz w:val="22"/>
          <w:szCs w:val="22"/>
        </w:rPr>
        <w:t>ndatud</w:t>
      </w:r>
      <w:r w:rsidRPr="001E4E63">
        <w:rPr>
          <w:rFonts w:ascii="Calibri" w:hAnsi="Calibri"/>
          <w:sz w:val="22"/>
          <w:szCs w:val="22"/>
        </w:rPr>
        <w:t xml:space="preserve"> rakendusplaaniga esitatakse Vabariigi Valitsusele eel</w:t>
      </w:r>
      <w:r w:rsidR="005E2B4E">
        <w:rPr>
          <w:rFonts w:ascii="Calibri" w:hAnsi="Calibri"/>
          <w:sz w:val="22"/>
          <w:szCs w:val="22"/>
        </w:rPr>
        <w:t>mise</w:t>
      </w:r>
      <w:r w:rsidRPr="001E4E63">
        <w:rPr>
          <w:rFonts w:ascii="Calibri" w:hAnsi="Calibri"/>
          <w:sz w:val="22"/>
          <w:szCs w:val="22"/>
        </w:rPr>
        <w:t xml:space="preserve"> </w:t>
      </w:r>
      <w:r w:rsidR="005E2B4E">
        <w:rPr>
          <w:rFonts w:ascii="Calibri" w:hAnsi="Calibri"/>
          <w:sz w:val="22"/>
          <w:szCs w:val="22"/>
        </w:rPr>
        <w:t xml:space="preserve">perioodi </w:t>
      </w:r>
      <w:r w:rsidRPr="001E4E63">
        <w:rPr>
          <w:rFonts w:ascii="Calibri" w:hAnsi="Calibri"/>
          <w:sz w:val="22"/>
          <w:szCs w:val="22"/>
        </w:rPr>
        <w:t xml:space="preserve">rakendusplaani täitmise aruanne. </w:t>
      </w:r>
      <w:r w:rsidR="00541803">
        <w:rPr>
          <w:rFonts w:ascii="Calibri" w:hAnsi="Calibri"/>
          <w:sz w:val="22"/>
          <w:szCs w:val="22"/>
        </w:rPr>
        <w:t>Lähtudes sellest, et elukestva õppe s</w:t>
      </w:r>
      <w:r w:rsidR="00DF2D3C">
        <w:rPr>
          <w:rFonts w:ascii="Calibri" w:hAnsi="Calibri"/>
          <w:sz w:val="22"/>
          <w:szCs w:val="22"/>
        </w:rPr>
        <w:t>üsteemi arendamisel on olulisteks põhimõteteks</w:t>
      </w:r>
      <w:r w:rsidR="00541803">
        <w:rPr>
          <w:rFonts w:ascii="Calibri" w:hAnsi="Calibri"/>
          <w:sz w:val="22"/>
          <w:szCs w:val="22"/>
        </w:rPr>
        <w:t xml:space="preserve"> ka </w:t>
      </w:r>
      <w:r w:rsidR="00DF2D3C">
        <w:rPr>
          <w:rFonts w:ascii="Calibri" w:hAnsi="Calibri"/>
          <w:sz w:val="22"/>
          <w:szCs w:val="22"/>
        </w:rPr>
        <w:t xml:space="preserve">regionaalne ja </w:t>
      </w:r>
      <w:r w:rsidR="00541803">
        <w:rPr>
          <w:rFonts w:ascii="Calibri" w:hAnsi="Calibri"/>
          <w:sz w:val="22"/>
          <w:szCs w:val="22"/>
        </w:rPr>
        <w:t>sooline tasakaal, siis seiratakse</w:t>
      </w:r>
      <w:r w:rsidR="00DF2D3C">
        <w:rPr>
          <w:rFonts w:ascii="Calibri" w:hAnsi="Calibri"/>
          <w:sz w:val="22"/>
          <w:szCs w:val="22"/>
        </w:rPr>
        <w:t xml:space="preserve"> nendest põhimõt</w:t>
      </w:r>
      <w:r w:rsidR="00541803">
        <w:rPr>
          <w:rFonts w:ascii="Calibri" w:hAnsi="Calibri"/>
          <w:sz w:val="22"/>
          <w:szCs w:val="22"/>
        </w:rPr>
        <w:t>e</w:t>
      </w:r>
      <w:r w:rsidR="00DF2D3C">
        <w:rPr>
          <w:rFonts w:ascii="Calibri" w:hAnsi="Calibri"/>
          <w:sz w:val="22"/>
          <w:szCs w:val="22"/>
        </w:rPr>
        <w:t>te</w:t>
      </w:r>
      <w:r w:rsidR="00541803">
        <w:rPr>
          <w:rFonts w:ascii="Calibri" w:hAnsi="Calibri"/>
          <w:sz w:val="22"/>
          <w:szCs w:val="22"/>
        </w:rPr>
        <w:t xml:space="preserve">st lähtudes  </w:t>
      </w:r>
      <w:r w:rsidR="00DF2D3C">
        <w:rPr>
          <w:rFonts w:ascii="Calibri" w:hAnsi="Calibri"/>
          <w:sz w:val="22"/>
          <w:szCs w:val="22"/>
        </w:rPr>
        <w:t xml:space="preserve">ka </w:t>
      </w:r>
      <w:r w:rsidR="00541803">
        <w:rPr>
          <w:rFonts w:ascii="Calibri" w:hAnsi="Calibri"/>
          <w:sz w:val="22"/>
          <w:szCs w:val="22"/>
        </w:rPr>
        <w:t xml:space="preserve">strateegia indikaatoreid </w:t>
      </w:r>
      <w:r w:rsidR="00DF2D3C">
        <w:rPr>
          <w:rFonts w:ascii="Calibri" w:hAnsi="Calibri"/>
          <w:sz w:val="22"/>
          <w:szCs w:val="22"/>
        </w:rPr>
        <w:t>n</w:t>
      </w:r>
      <w:r w:rsidR="00541803">
        <w:rPr>
          <w:rFonts w:ascii="Calibri" w:hAnsi="Calibri"/>
          <w:sz w:val="22"/>
          <w:szCs w:val="22"/>
        </w:rPr>
        <w:t xml:space="preserve">ing vastavalt vajadusele tehakse ettepanekuid </w:t>
      </w:r>
      <w:r w:rsidR="00CF35D8">
        <w:rPr>
          <w:rFonts w:ascii="Calibri" w:hAnsi="Calibri"/>
          <w:sz w:val="22"/>
          <w:szCs w:val="22"/>
        </w:rPr>
        <w:t>rakendusplaani</w:t>
      </w:r>
      <w:r w:rsidR="00541803">
        <w:rPr>
          <w:rFonts w:ascii="Calibri" w:hAnsi="Calibri"/>
          <w:sz w:val="22"/>
          <w:szCs w:val="22"/>
        </w:rPr>
        <w:t xml:space="preserve"> täpsustamiseks.</w:t>
      </w:r>
    </w:p>
    <w:p w14:paraId="56EE56B0" w14:textId="77777777" w:rsidR="00AF75E4" w:rsidRPr="001E4E63" w:rsidRDefault="00AF75E4" w:rsidP="00AF75E4">
      <w:pPr>
        <w:pStyle w:val="BodyText"/>
        <w:jc w:val="both"/>
        <w:rPr>
          <w:rFonts w:ascii="Calibri" w:hAnsi="Calibri"/>
          <w:sz w:val="22"/>
          <w:szCs w:val="22"/>
        </w:rPr>
      </w:pPr>
    </w:p>
    <w:p w14:paraId="56EE56B1" w14:textId="77777777" w:rsidR="00AF75E4" w:rsidRDefault="00AF75E4" w:rsidP="00AF75E4">
      <w:pPr>
        <w:pStyle w:val="BodyText"/>
        <w:jc w:val="both"/>
        <w:rPr>
          <w:rFonts w:ascii="Calibri" w:hAnsi="Calibri"/>
          <w:sz w:val="22"/>
          <w:szCs w:val="22"/>
        </w:rPr>
      </w:pPr>
      <w:r w:rsidRPr="001E4E63">
        <w:rPr>
          <w:rFonts w:ascii="Calibri" w:hAnsi="Calibri"/>
          <w:sz w:val="22"/>
          <w:szCs w:val="22"/>
        </w:rPr>
        <w:t>Strateegia  rakendamiseks koostab Haridus- ja Teadusministeerium</w:t>
      </w:r>
      <w:r w:rsidR="005E2B4E">
        <w:rPr>
          <w:rFonts w:ascii="Calibri" w:hAnsi="Calibri"/>
          <w:sz w:val="22"/>
          <w:szCs w:val="22"/>
        </w:rPr>
        <w:t xml:space="preserve"> arengukavast ja rakendusplaanist lähtudes </w:t>
      </w:r>
      <w:r w:rsidRPr="001E4E63">
        <w:rPr>
          <w:rFonts w:ascii="Calibri" w:hAnsi="Calibri"/>
          <w:sz w:val="22"/>
          <w:szCs w:val="22"/>
        </w:rPr>
        <w:t xml:space="preserve"> järgmised programmid:</w:t>
      </w:r>
    </w:p>
    <w:p w14:paraId="56EE56B2" w14:textId="77777777" w:rsidR="009B5797" w:rsidRDefault="009B5797" w:rsidP="00AF75E4">
      <w:pPr>
        <w:pStyle w:val="BodyText"/>
        <w:jc w:val="both"/>
        <w:rPr>
          <w:rFonts w:ascii="Calibri" w:hAnsi="Calibri"/>
          <w:sz w:val="22"/>
          <w:szCs w:val="22"/>
        </w:rPr>
      </w:pPr>
    </w:p>
    <w:p w14:paraId="56EE56B3" w14:textId="77777777" w:rsidR="009B5797" w:rsidRDefault="009B5797" w:rsidP="009B5797">
      <w:pPr>
        <w:pStyle w:val="ListBullet"/>
        <w:numPr>
          <w:ilvl w:val="0"/>
          <w:numId w:val="52"/>
        </w:numPr>
        <w:spacing w:after="0"/>
        <w:jc w:val="both"/>
      </w:pPr>
      <w:r>
        <w:t>Üldharidusprogramm</w:t>
      </w:r>
    </w:p>
    <w:p w14:paraId="56EE56B4" w14:textId="77777777" w:rsidR="009B5797" w:rsidRDefault="009B5797" w:rsidP="009B5797">
      <w:pPr>
        <w:pStyle w:val="ListBullet"/>
        <w:numPr>
          <w:ilvl w:val="0"/>
          <w:numId w:val="52"/>
        </w:numPr>
        <w:spacing w:after="0"/>
        <w:jc w:val="both"/>
      </w:pPr>
      <w:r>
        <w:t>Kutseharidusprogramm</w:t>
      </w:r>
    </w:p>
    <w:p w14:paraId="56EE56B5" w14:textId="77777777" w:rsidR="005E2B4E" w:rsidRPr="005E2B4E" w:rsidRDefault="009B5797" w:rsidP="009B5797">
      <w:pPr>
        <w:pStyle w:val="ListBullet"/>
        <w:numPr>
          <w:ilvl w:val="0"/>
          <w:numId w:val="52"/>
        </w:numPr>
        <w:spacing w:after="0"/>
        <w:jc w:val="both"/>
      </w:pPr>
      <w:r>
        <w:t>Kõrgharidusprogramm</w:t>
      </w:r>
    </w:p>
    <w:p w14:paraId="56EE56B6" w14:textId="77777777" w:rsidR="005E2B4E" w:rsidRPr="005E2B4E" w:rsidRDefault="005E2B4E" w:rsidP="009B5797">
      <w:pPr>
        <w:pStyle w:val="ListBullet"/>
        <w:numPr>
          <w:ilvl w:val="0"/>
          <w:numId w:val="52"/>
        </w:numPr>
        <w:spacing w:after="0"/>
        <w:jc w:val="both"/>
      </w:pPr>
      <w:r w:rsidRPr="005E2B4E">
        <w:t>Täiskasvanuharidusprogramm</w:t>
      </w:r>
    </w:p>
    <w:p w14:paraId="56EE56B7" w14:textId="77777777" w:rsidR="005E2B4E" w:rsidRPr="005E2B4E" w:rsidRDefault="005E2B4E" w:rsidP="009B5797">
      <w:pPr>
        <w:pStyle w:val="ListBullet"/>
        <w:numPr>
          <w:ilvl w:val="0"/>
          <w:numId w:val="52"/>
        </w:numPr>
        <w:spacing w:after="0"/>
        <w:jc w:val="both"/>
      </w:pPr>
      <w:r w:rsidRPr="005E2B4E">
        <w:t>Õpetajate ja koolijuhtide koolituse programm</w:t>
      </w:r>
    </w:p>
    <w:p w14:paraId="56EE56B8" w14:textId="77777777" w:rsidR="005E2B4E" w:rsidRPr="005E2B4E" w:rsidRDefault="009B5797" w:rsidP="009B5797">
      <w:pPr>
        <w:pStyle w:val="ListBullet"/>
        <w:numPr>
          <w:ilvl w:val="0"/>
          <w:numId w:val="52"/>
        </w:numPr>
        <w:spacing w:after="0"/>
        <w:jc w:val="both"/>
      </w:pPr>
      <w:r>
        <w:t xml:space="preserve">Õppevara programm </w:t>
      </w:r>
    </w:p>
    <w:p w14:paraId="56EE56B9" w14:textId="77777777" w:rsidR="005E2B4E" w:rsidRPr="007554C8" w:rsidRDefault="005E2B4E" w:rsidP="009B5797">
      <w:pPr>
        <w:pStyle w:val="ListBullet"/>
        <w:numPr>
          <w:ilvl w:val="0"/>
          <w:numId w:val="52"/>
        </w:numPr>
        <w:spacing w:after="0"/>
        <w:jc w:val="both"/>
        <w:rPr>
          <w:color w:val="000000" w:themeColor="text1"/>
        </w:rPr>
      </w:pPr>
      <w:r w:rsidRPr="005E2B4E">
        <w:t xml:space="preserve">Õppe- ja </w:t>
      </w:r>
      <w:r w:rsidRPr="007554C8">
        <w:rPr>
          <w:color w:val="000000" w:themeColor="text1"/>
        </w:rPr>
        <w:t>karj</w:t>
      </w:r>
      <w:r w:rsidR="009B5797" w:rsidRPr="007554C8">
        <w:rPr>
          <w:color w:val="000000" w:themeColor="text1"/>
        </w:rPr>
        <w:t>äärinõustamise programm</w:t>
      </w:r>
    </w:p>
    <w:p w14:paraId="56EE56BA" w14:textId="77777777" w:rsidR="009B5797" w:rsidRPr="007554C8" w:rsidRDefault="007554C8" w:rsidP="009B5797">
      <w:pPr>
        <w:pStyle w:val="ListBullet"/>
        <w:numPr>
          <w:ilvl w:val="0"/>
          <w:numId w:val="52"/>
        </w:numPr>
        <w:spacing w:after="0"/>
        <w:jc w:val="both"/>
        <w:rPr>
          <w:color w:val="000000" w:themeColor="text1"/>
        </w:rPr>
      </w:pPr>
      <w:r w:rsidRPr="007554C8">
        <w:rPr>
          <w:color w:val="000000" w:themeColor="text1"/>
        </w:rPr>
        <w:t xml:space="preserve">Tööturu ja õppe tihedama seostamise </w:t>
      </w:r>
      <w:r w:rsidR="009B5797" w:rsidRPr="007554C8">
        <w:rPr>
          <w:color w:val="000000" w:themeColor="text1"/>
        </w:rPr>
        <w:t>programm</w:t>
      </w:r>
    </w:p>
    <w:p w14:paraId="56EE56BB" w14:textId="77777777" w:rsidR="0051278A" w:rsidRDefault="005E2B4E" w:rsidP="009B5797">
      <w:pPr>
        <w:pStyle w:val="ListBullet"/>
        <w:numPr>
          <w:ilvl w:val="0"/>
          <w:numId w:val="52"/>
        </w:numPr>
        <w:spacing w:after="0"/>
        <w:jc w:val="both"/>
      </w:pPr>
      <w:r w:rsidRPr="005E2B4E">
        <w:t>Koolivõrgu programm</w:t>
      </w:r>
    </w:p>
    <w:p w14:paraId="56EE56BC" w14:textId="77777777" w:rsidR="0006645B" w:rsidRPr="005E2B4E" w:rsidRDefault="0006645B" w:rsidP="0006645B">
      <w:pPr>
        <w:pStyle w:val="ListBullet"/>
        <w:numPr>
          <w:ilvl w:val="0"/>
          <w:numId w:val="0"/>
        </w:numPr>
        <w:spacing w:after="0"/>
        <w:ind w:left="720"/>
        <w:jc w:val="both"/>
      </w:pPr>
    </w:p>
    <w:p w14:paraId="56EE56BD" w14:textId="77777777" w:rsidR="00B03696" w:rsidRPr="00384CC8" w:rsidRDefault="009B5797" w:rsidP="0051278A">
      <w:pPr>
        <w:pStyle w:val="ListBullet"/>
        <w:numPr>
          <w:ilvl w:val="0"/>
          <w:numId w:val="0"/>
        </w:numPr>
        <w:spacing w:after="0"/>
        <w:jc w:val="both"/>
        <w:rPr>
          <w:rFonts w:ascii="Calibri" w:eastAsia="Times New Roman" w:hAnsi="Calibri" w:cs="Times New Roman"/>
        </w:rPr>
      </w:pPr>
      <w:r>
        <w:rPr>
          <w:rFonts w:ascii="Calibri" w:eastAsia="Times New Roman" w:hAnsi="Calibri" w:cs="Times New Roman"/>
        </w:rPr>
        <w:t>P</w:t>
      </w:r>
      <w:r w:rsidR="00384CC8" w:rsidRPr="00A27977">
        <w:rPr>
          <w:rFonts w:ascii="Calibri" w:eastAsia="Times New Roman" w:hAnsi="Calibri" w:cs="Times New Roman"/>
        </w:rPr>
        <w:t>rogrammide väljatöötamisse kaasatakse ka teiste asjaomaste ministeeriumide esindajad.</w:t>
      </w:r>
      <w:r w:rsidR="00384CC8" w:rsidRPr="00384CC8">
        <w:rPr>
          <w:rFonts w:ascii="Calibri" w:eastAsia="Times New Roman" w:hAnsi="Calibri" w:cs="Times New Roman"/>
        </w:rPr>
        <w:t xml:space="preserve"> </w:t>
      </w:r>
    </w:p>
    <w:p w14:paraId="56EE56BE" w14:textId="77777777" w:rsidR="007F0025" w:rsidRDefault="00B03696" w:rsidP="0053311E">
      <w:pPr>
        <w:pStyle w:val="Heading1"/>
      </w:pPr>
      <w:r w:rsidRPr="001E4E63">
        <w:br w:type="page"/>
      </w:r>
      <w:bookmarkStart w:id="12" w:name="_Toc376952253"/>
      <w:r w:rsidR="00F8342F">
        <w:t>Lisa</w:t>
      </w:r>
      <w:r w:rsidR="007F0025" w:rsidRPr="007F0025">
        <w:t xml:space="preserve"> </w:t>
      </w:r>
      <w:r w:rsidR="007F0025">
        <w:t>1</w:t>
      </w:r>
      <w:r w:rsidR="00B36E8D">
        <w:t>.</w:t>
      </w:r>
      <w:r w:rsidR="0053311E">
        <w:t xml:space="preserve"> </w:t>
      </w:r>
      <w:r w:rsidR="007F0025" w:rsidRPr="007F0025">
        <w:t>Eesmärkide saavutamist mõõtvate näitajate koondtabel</w:t>
      </w:r>
      <w:bookmarkEnd w:id="12"/>
    </w:p>
    <w:p w14:paraId="56EE56BF" w14:textId="77777777" w:rsidR="00DD052A" w:rsidRPr="00DD052A" w:rsidRDefault="00DD052A" w:rsidP="00DD052A"/>
    <w:tbl>
      <w:tblPr>
        <w:tblStyle w:val="TableGrid1"/>
        <w:tblW w:w="9322" w:type="dxa"/>
        <w:tblInd w:w="-34" w:type="dxa"/>
        <w:tblLayout w:type="fixed"/>
        <w:tblLook w:val="04A0" w:firstRow="1" w:lastRow="0" w:firstColumn="1" w:lastColumn="0" w:noHBand="0" w:noVBand="1"/>
      </w:tblPr>
      <w:tblGrid>
        <w:gridCol w:w="3686"/>
        <w:gridCol w:w="674"/>
        <w:gridCol w:w="674"/>
        <w:gridCol w:w="675"/>
        <w:gridCol w:w="674"/>
        <w:gridCol w:w="847"/>
        <w:gridCol w:w="1134"/>
        <w:gridCol w:w="958"/>
      </w:tblGrid>
      <w:tr w:rsidR="00DD6728" w:rsidRPr="009B124B" w14:paraId="56EE56C8" w14:textId="77777777" w:rsidTr="00DD052A">
        <w:tc>
          <w:tcPr>
            <w:tcW w:w="3686" w:type="dxa"/>
          </w:tcPr>
          <w:p w14:paraId="56EE56C0" w14:textId="77777777" w:rsidR="00DD6728" w:rsidRPr="009B124B" w:rsidRDefault="00DD6728" w:rsidP="00EA465F">
            <w:pPr>
              <w:rPr>
                <w:rFonts w:ascii="Calibri" w:hAnsi="Calibri"/>
                <w:b/>
                <w:sz w:val="28"/>
                <w:szCs w:val="28"/>
              </w:rPr>
            </w:pPr>
            <w:r w:rsidRPr="009B124B">
              <w:rPr>
                <w:rFonts w:ascii="Calibri" w:hAnsi="Calibri"/>
                <w:b/>
                <w:sz w:val="28"/>
                <w:szCs w:val="28"/>
              </w:rPr>
              <w:t>Näitaja</w:t>
            </w:r>
          </w:p>
        </w:tc>
        <w:tc>
          <w:tcPr>
            <w:tcW w:w="674" w:type="dxa"/>
          </w:tcPr>
          <w:p w14:paraId="56EE56C1" w14:textId="77777777" w:rsidR="00DD6728" w:rsidRPr="009B124B" w:rsidRDefault="00DD6728" w:rsidP="00EA465F">
            <w:pPr>
              <w:jc w:val="center"/>
              <w:rPr>
                <w:rFonts w:ascii="Calibri" w:hAnsi="Calibri"/>
                <w:b/>
              </w:rPr>
            </w:pPr>
            <w:r w:rsidRPr="009B124B">
              <w:rPr>
                <w:rFonts w:ascii="Calibri" w:hAnsi="Calibri"/>
                <w:b/>
              </w:rPr>
              <w:t>2008</w:t>
            </w:r>
          </w:p>
        </w:tc>
        <w:tc>
          <w:tcPr>
            <w:tcW w:w="674" w:type="dxa"/>
          </w:tcPr>
          <w:p w14:paraId="56EE56C2" w14:textId="77777777" w:rsidR="00DD6728" w:rsidRPr="009B124B" w:rsidRDefault="00DD6728" w:rsidP="00EA465F">
            <w:pPr>
              <w:jc w:val="center"/>
              <w:rPr>
                <w:rFonts w:ascii="Calibri" w:hAnsi="Calibri"/>
                <w:b/>
              </w:rPr>
            </w:pPr>
            <w:r w:rsidRPr="009B124B">
              <w:rPr>
                <w:rFonts w:ascii="Calibri" w:hAnsi="Calibri"/>
                <w:b/>
              </w:rPr>
              <w:t>2009</w:t>
            </w:r>
          </w:p>
        </w:tc>
        <w:tc>
          <w:tcPr>
            <w:tcW w:w="675" w:type="dxa"/>
          </w:tcPr>
          <w:p w14:paraId="56EE56C3" w14:textId="77777777" w:rsidR="00DD6728" w:rsidRPr="009B124B" w:rsidRDefault="00DD6728" w:rsidP="00EA465F">
            <w:pPr>
              <w:jc w:val="center"/>
              <w:rPr>
                <w:rFonts w:ascii="Calibri" w:hAnsi="Calibri"/>
                <w:b/>
              </w:rPr>
            </w:pPr>
            <w:r w:rsidRPr="009B124B">
              <w:rPr>
                <w:rFonts w:ascii="Calibri" w:hAnsi="Calibri"/>
                <w:b/>
              </w:rPr>
              <w:t>2010</w:t>
            </w:r>
          </w:p>
        </w:tc>
        <w:tc>
          <w:tcPr>
            <w:tcW w:w="674" w:type="dxa"/>
          </w:tcPr>
          <w:p w14:paraId="56EE56C4" w14:textId="77777777" w:rsidR="00DD6728" w:rsidRPr="009B124B" w:rsidRDefault="00DD6728" w:rsidP="00EA465F">
            <w:pPr>
              <w:jc w:val="center"/>
              <w:rPr>
                <w:rFonts w:ascii="Calibri" w:hAnsi="Calibri"/>
                <w:b/>
              </w:rPr>
            </w:pPr>
            <w:r w:rsidRPr="009B124B">
              <w:rPr>
                <w:rFonts w:ascii="Calibri" w:hAnsi="Calibri"/>
                <w:b/>
              </w:rPr>
              <w:t>2011</w:t>
            </w:r>
          </w:p>
        </w:tc>
        <w:tc>
          <w:tcPr>
            <w:tcW w:w="847" w:type="dxa"/>
          </w:tcPr>
          <w:p w14:paraId="56EE56C5" w14:textId="77777777" w:rsidR="00DD6728" w:rsidRPr="009B124B" w:rsidRDefault="00DD6728" w:rsidP="00EA465F">
            <w:pPr>
              <w:jc w:val="center"/>
              <w:rPr>
                <w:rFonts w:ascii="Calibri" w:hAnsi="Calibri"/>
                <w:b/>
              </w:rPr>
            </w:pPr>
            <w:r w:rsidRPr="009B124B">
              <w:rPr>
                <w:rFonts w:ascii="Calibri" w:hAnsi="Calibri"/>
                <w:b/>
              </w:rPr>
              <w:t>2012</w:t>
            </w:r>
          </w:p>
        </w:tc>
        <w:tc>
          <w:tcPr>
            <w:tcW w:w="1134" w:type="dxa"/>
          </w:tcPr>
          <w:p w14:paraId="56EE56C6" w14:textId="77777777" w:rsidR="00DD6728" w:rsidRPr="009B124B" w:rsidRDefault="00DD6728" w:rsidP="00EA465F">
            <w:pPr>
              <w:jc w:val="center"/>
              <w:rPr>
                <w:rFonts w:ascii="Calibri" w:hAnsi="Calibri"/>
                <w:b/>
              </w:rPr>
            </w:pPr>
            <w:r w:rsidRPr="009B124B">
              <w:rPr>
                <w:rFonts w:ascii="Calibri" w:hAnsi="Calibri"/>
                <w:b/>
              </w:rPr>
              <w:t>Eesti sihttase 2020</w:t>
            </w:r>
          </w:p>
        </w:tc>
        <w:tc>
          <w:tcPr>
            <w:tcW w:w="958" w:type="dxa"/>
          </w:tcPr>
          <w:p w14:paraId="56EE56C7" w14:textId="77777777" w:rsidR="00DD6728" w:rsidRPr="009B124B" w:rsidRDefault="00DD6728" w:rsidP="00EA465F">
            <w:pPr>
              <w:jc w:val="center"/>
              <w:rPr>
                <w:rFonts w:ascii="Calibri" w:hAnsi="Calibri"/>
                <w:b/>
              </w:rPr>
            </w:pPr>
            <w:r w:rsidRPr="009B124B">
              <w:rPr>
                <w:rFonts w:ascii="Calibri" w:hAnsi="Calibri"/>
                <w:b/>
              </w:rPr>
              <w:t>EL sihttase 2020</w:t>
            </w:r>
          </w:p>
        </w:tc>
      </w:tr>
      <w:tr w:rsidR="00DD6728" w:rsidRPr="009B124B" w14:paraId="56EE56D1" w14:textId="77777777" w:rsidTr="00DD052A">
        <w:tc>
          <w:tcPr>
            <w:tcW w:w="3686" w:type="dxa"/>
          </w:tcPr>
          <w:p w14:paraId="56EE56C9" w14:textId="77777777" w:rsidR="00DD6728" w:rsidRPr="009B124B" w:rsidRDefault="00DD6728" w:rsidP="00EA465F">
            <w:pPr>
              <w:rPr>
                <w:rFonts w:cs="Times New Roman"/>
                <w:b/>
              </w:rPr>
            </w:pPr>
            <w:r w:rsidRPr="009B124B">
              <w:rPr>
                <w:rFonts w:cs="Times New Roman"/>
                <w:b/>
              </w:rPr>
              <w:t>Võtmenäitajad</w:t>
            </w:r>
          </w:p>
        </w:tc>
        <w:tc>
          <w:tcPr>
            <w:tcW w:w="674" w:type="dxa"/>
          </w:tcPr>
          <w:p w14:paraId="56EE56CA" w14:textId="77777777" w:rsidR="00DD6728" w:rsidRPr="009B124B" w:rsidRDefault="00DD6728" w:rsidP="00EA465F">
            <w:pPr>
              <w:jc w:val="center"/>
              <w:rPr>
                <w:rFonts w:cs="Times New Roman"/>
              </w:rPr>
            </w:pPr>
          </w:p>
        </w:tc>
        <w:tc>
          <w:tcPr>
            <w:tcW w:w="674" w:type="dxa"/>
          </w:tcPr>
          <w:p w14:paraId="56EE56CB" w14:textId="77777777" w:rsidR="00DD6728" w:rsidRPr="009B124B" w:rsidRDefault="00DD6728" w:rsidP="00EA465F">
            <w:pPr>
              <w:jc w:val="center"/>
              <w:rPr>
                <w:rFonts w:cs="Times New Roman"/>
              </w:rPr>
            </w:pPr>
          </w:p>
        </w:tc>
        <w:tc>
          <w:tcPr>
            <w:tcW w:w="675" w:type="dxa"/>
          </w:tcPr>
          <w:p w14:paraId="56EE56CC" w14:textId="77777777" w:rsidR="00DD6728" w:rsidRPr="009B124B" w:rsidRDefault="00DD6728" w:rsidP="00EA465F">
            <w:pPr>
              <w:jc w:val="center"/>
              <w:rPr>
                <w:rFonts w:cs="Times New Roman"/>
              </w:rPr>
            </w:pPr>
          </w:p>
        </w:tc>
        <w:tc>
          <w:tcPr>
            <w:tcW w:w="674" w:type="dxa"/>
          </w:tcPr>
          <w:p w14:paraId="56EE56CD" w14:textId="77777777" w:rsidR="00DD6728" w:rsidRPr="009B124B" w:rsidRDefault="00DD6728" w:rsidP="00EA465F">
            <w:pPr>
              <w:jc w:val="center"/>
              <w:rPr>
                <w:rFonts w:cs="Times New Roman"/>
              </w:rPr>
            </w:pPr>
          </w:p>
        </w:tc>
        <w:tc>
          <w:tcPr>
            <w:tcW w:w="847" w:type="dxa"/>
          </w:tcPr>
          <w:p w14:paraId="56EE56CE" w14:textId="77777777" w:rsidR="00DD6728" w:rsidRPr="009B124B" w:rsidRDefault="00DD6728" w:rsidP="00EA465F">
            <w:pPr>
              <w:jc w:val="center"/>
              <w:rPr>
                <w:rFonts w:cs="Times New Roman"/>
              </w:rPr>
            </w:pPr>
          </w:p>
        </w:tc>
        <w:tc>
          <w:tcPr>
            <w:tcW w:w="1134" w:type="dxa"/>
          </w:tcPr>
          <w:p w14:paraId="56EE56CF" w14:textId="77777777" w:rsidR="00DD6728" w:rsidRPr="009B124B" w:rsidRDefault="00DD6728" w:rsidP="00EA465F">
            <w:pPr>
              <w:jc w:val="center"/>
              <w:rPr>
                <w:rFonts w:cs="Times New Roman"/>
              </w:rPr>
            </w:pPr>
          </w:p>
        </w:tc>
        <w:tc>
          <w:tcPr>
            <w:tcW w:w="958" w:type="dxa"/>
          </w:tcPr>
          <w:p w14:paraId="56EE56D0" w14:textId="77777777" w:rsidR="00DD6728" w:rsidRPr="009B124B" w:rsidRDefault="00DD6728" w:rsidP="00EA465F">
            <w:pPr>
              <w:jc w:val="center"/>
              <w:rPr>
                <w:rFonts w:cs="Times New Roman"/>
              </w:rPr>
            </w:pPr>
          </w:p>
        </w:tc>
      </w:tr>
      <w:tr w:rsidR="00DD6728" w:rsidRPr="009B124B" w14:paraId="56EE56DB" w14:textId="77777777" w:rsidTr="00DD052A">
        <w:tc>
          <w:tcPr>
            <w:tcW w:w="3686" w:type="dxa"/>
          </w:tcPr>
          <w:p w14:paraId="56EE56D2" w14:textId="77777777" w:rsidR="00DD6728" w:rsidRPr="00DD052A" w:rsidRDefault="00DD6728" w:rsidP="00DD052A">
            <w:pPr>
              <w:rPr>
                <w:rFonts w:cs="Times New Roman"/>
              </w:rPr>
            </w:pPr>
            <w:r w:rsidRPr="00DD052A">
              <w:rPr>
                <w:rFonts w:cs="Times New Roman"/>
              </w:rPr>
              <w:t>Erinevate osapoolte rahulolu elukestva õppe toimimisega</w:t>
            </w:r>
          </w:p>
          <w:p w14:paraId="56EE56D3" w14:textId="77777777" w:rsidR="00DD6728" w:rsidRPr="00DD052A" w:rsidRDefault="00DD6728" w:rsidP="00DD052A">
            <w:pPr>
              <w:rPr>
                <w:rFonts w:cs="Times New Roman"/>
              </w:rPr>
            </w:pPr>
            <w:r w:rsidRPr="00DD052A">
              <w:rPr>
                <w:rFonts w:cs="Times New Roman"/>
              </w:rPr>
              <w:t>(keskselt, regulaarselt läbiviidav uuring)</w:t>
            </w:r>
          </w:p>
        </w:tc>
        <w:tc>
          <w:tcPr>
            <w:tcW w:w="674" w:type="dxa"/>
          </w:tcPr>
          <w:p w14:paraId="56EE56D4" w14:textId="77777777" w:rsidR="00DD6728" w:rsidRPr="00DD052A" w:rsidRDefault="00DD6728" w:rsidP="00DD052A">
            <w:pPr>
              <w:rPr>
                <w:rFonts w:cs="Times New Roman"/>
              </w:rPr>
            </w:pPr>
          </w:p>
        </w:tc>
        <w:tc>
          <w:tcPr>
            <w:tcW w:w="674" w:type="dxa"/>
          </w:tcPr>
          <w:p w14:paraId="56EE56D5" w14:textId="77777777" w:rsidR="00DD6728" w:rsidRPr="00DD052A" w:rsidRDefault="00DD6728" w:rsidP="00DD052A">
            <w:pPr>
              <w:rPr>
                <w:rFonts w:cs="Times New Roman"/>
              </w:rPr>
            </w:pPr>
          </w:p>
        </w:tc>
        <w:tc>
          <w:tcPr>
            <w:tcW w:w="675" w:type="dxa"/>
          </w:tcPr>
          <w:p w14:paraId="56EE56D6" w14:textId="77777777" w:rsidR="00DD6728" w:rsidRPr="00DD052A" w:rsidRDefault="00DD6728" w:rsidP="00DD052A">
            <w:pPr>
              <w:rPr>
                <w:rFonts w:cs="Times New Roman"/>
              </w:rPr>
            </w:pPr>
          </w:p>
        </w:tc>
        <w:tc>
          <w:tcPr>
            <w:tcW w:w="674" w:type="dxa"/>
          </w:tcPr>
          <w:p w14:paraId="56EE56D7" w14:textId="77777777" w:rsidR="00DD6728" w:rsidRPr="00DD052A" w:rsidRDefault="00DD6728" w:rsidP="00DD052A">
            <w:pPr>
              <w:rPr>
                <w:rFonts w:cs="Times New Roman"/>
              </w:rPr>
            </w:pPr>
          </w:p>
        </w:tc>
        <w:tc>
          <w:tcPr>
            <w:tcW w:w="847" w:type="dxa"/>
          </w:tcPr>
          <w:p w14:paraId="56EE56D8" w14:textId="77777777" w:rsidR="00DD6728" w:rsidRPr="00DD052A" w:rsidRDefault="00DD6728" w:rsidP="00DD052A">
            <w:pPr>
              <w:rPr>
                <w:rFonts w:cs="Times New Roman"/>
              </w:rPr>
            </w:pPr>
            <w:r w:rsidRPr="00DD052A">
              <w:rPr>
                <w:rFonts w:cs="Times New Roman"/>
              </w:rPr>
              <w:t>-</w:t>
            </w:r>
          </w:p>
        </w:tc>
        <w:tc>
          <w:tcPr>
            <w:tcW w:w="1134" w:type="dxa"/>
          </w:tcPr>
          <w:p w14:paraId="56EE56D9" w14:textId="77777777" w:rsidR="00DD6728" w:rsidRPr="00DD052A" w:rsidRDefault="00DD6728" w:rsidP="00DD052A">
            <w:pPr>
              <w:rPr>
                <w:rFonts w:cs="Times New Roman"/>
              </w:rPr>
            </w:pPr>
            <w:r w:rsidRPr="00DD052A">
              <w:rPr>
                <w:rFonts w:cs="Times New Roman"/>
              </w:rPr>
              <w:t>rahulolu on kasvanud</w:t>
            </w:r>
          </w:p>
        </w:tc>
        <w:tc>
          <w:tcPr>
            <w:tcW w:w="958" w:type="dxa"/>
          </w:tcPr>
          <w:p w14:paraId="56EE56DA" w14:textId="77777777" w:rsidR="00DD6728" w:rsidRPr="00DD052A" w:rsidRDefault="00DD6728" w:rsidP="00DD052A">
            <w:pPr>
              <w:rPr>
                <w:rFonts w:cs="Times New Roman"/>
              </w:rPr>
            </w:pPr>
          </w:p>
        </w:tc>
      </w:tr>
      <w:tr w:rsidR="00DD6728" w:rsidRPr="009B124B" w14:paraId="56EE56E4" w14:textId="77777777" w:rsidTr="00DD052A">
        <w:tc>
          <w:tcPr>
            <w:tcW w:w="3686" w:type="dxa"/>
          </w:tcPr>
          <w:p w14:paraId="56EE56DC" w14:textId="77777777" w:rsidR="00DD6728" w:rsidRPr="00DD052A" w:rsidRDefault="00DD6728" w:rsidP="00DD052A">
            <w:pPr>
              <w:rPr>
                <w:rFonts w:cs="Times New Roman"/>
              </w:rPr>
            </w:pPr>
            <w:r w:rsidRPr="00DD052A">
              <w:t xml:space="preserve">Eri- ja kutsealase hariduseta täiskasvanute (25-64) osakaal </w:t>
            </w:r>
            <w:r w:rsidRPr="00DD052A">
              <w:rPr>
                <w:rFonts w:cs="Times New Roman"/>
              </w:rPr>
              <w:t>(%)</w:t>
            </w:r>
            <w:r w:rsidRPr="00DD052A">
              <w:rPr>
                <w:rFonts w:cs="Times New Roman"/>
                <w:vertAlign w:val="superscript"/>
              </w:rPr>
              <w:footnoteReference w:id="17"/>
            </w:r>
          </w:p>
        </w:tc>
        <w:tc>
          <w:tcPr>
            <w:tcW w:w="674" w:type="dxa"/>
          </w:tcPr>
          <w:p w14:paraId="56EE56DD" w14:textId="77777777" w:rsidR="00DD6728" w:rsidRPr="00DD052A" w:rsidRDefault="00DD6728" w:rsidP="00DD052A">
            <w:pPr>
              <w:rPr>
                <w:rFonts w:cs="Times New Roman"/>
              </w:rPr>
            </w:pPr>
            <w:r w:rsidRPr="00DD052A">
              <w:rPr>
                <w:rFonts w:cs="Times New Roman"/>
              </w:rPr>
              <w:t>35</w:t>
            </w:r>
          </w:p>
        </w:tc>
        <w:tc>
          <w:tcPr>
            <w:tcW w:w="674" w:type="dxa"/>
          </w:tcPr>
          <w:p w14:paraId="56EE56DE" w14:textId="77777777" w:rsidR="00DD6728" w:rsidRPr="00DD052A" w:rsidRDefault="00DD6728" w:rsidP="00DD052A">
            <w:pPr>
              <w:rPr>
                <w:rFonts w:cs="Times New Roman"/>
              </w:rPr>
            </w:pPr>
            <w:r w:rsidRPr="00DD052A">
              <w:rPr>
                <w:rFonts w:cs="Times New Roman"/>
              </w:rPr>
              <w:t>32</w:t>
            </w:r>
          </w:p>
        </w:tc>
        <w:tc>
          <w:tcPr>
            <w:tcW w:w="675" w:type="dxa"/>
          </w:tcPr>
          <w:p w14:paraId="56EE56DF" w14:textId="77777777" w:rsidR="00DD6728" w:rsidRPr="00DD052A" w:rsidRDefault="00DD6728" w:rsidP="00DD052A">
            <w:pPr>
              <w:rPr>
                <w:rFonts w:cs="Times New Roman"/>
              </w:rPr>
            </w:pPr>
            <w:r w:rsidRPr="00DD052A">
              <w:rPr>
                <w:rFonts w:cs="Times New Roman"/>
              </w:rPr>
              <w:t>32</w:t>
            </w:r>
          </w:p>
        </w:tc>
        <w:tc>
          <w:tcPr>
            <w:tcW w:w="674" w:type="dxa"/>
          </w:tcPr>
          <w:p w14:paraId="56EE56E0" w14:textId="77777777" w:rsidR="00DD6728" w:rsidRPr="00DD052A" w:rsidRDefault="00DD6728" w:rsidP="00DD052A">
            <w:pPr>
              <w:rPr>
                <w:rFonts w:cs="Times New Roman"/>
              </w:rPr>
            </w:pPr>
            <w:r w:rsidRPr="00DD052A">
              <w:rPr>
                <w:rFonts w:cs="Times New Roman"/>
              </w:rPr>
              <w:t>31,1</w:t>
            </w:r>
          </w:p>
        </w:tc>
        <w:tc>
          <w:tcPr>
            <w:tcW w:w="847" w:type="dxa"/>
          </w:tcPr>
          <w:p w14:paraId="56EE56E1" w14:textId="77777777" w:rsidR="00DD6728" w:rsidRPr="00DD052A" w:rsidRDefault="00DD6728" w:rsidP="00DD052A">
            <w:pPr>
              <w:rPr>
                <w:rFonts w:cs="Times New Roman"/>
              </w:rPr>
            </w:pPr>
            <w:r w:rsidRPr="00DD052A">
              <w:rPr>
                <w:rFonts w:cs="Times New Roman"/>
              </w:rPr>
              <w:t>30,3</w:t>
            </w:r>
          </w:p>
        </w:tc>
        <w:tc>
          <w:tcPr>
            <w:tcW w:w="1134" w:type="dxa"/>
          </w:tcPr>
          <w:p w14:paraId="56EE56E2" w14:textId="77777777" w:rsidR="00DD6728" w:rsidRPr="00DD052A" w:rsidRDefault="00DD6728" w:rsidP="00DD052A">
            <w:pPr>
              <w:rPr>
                <w:rFonts w:cs="Times New Roman"/>
              </w:rPr>
            </w:pPr>
            <w:r w:rsidRPr="00DD052A">
              <w:rPr>
                <w:rFonts w:cs="Times New Roman"/>
              </w:rPr>
              <w:t>25%</w:t>
            </w:r>
          </w:p>
        </w:tc>
        <w:tc>
          <w:tcPr>
            <w:tcW w:w="958" w:type="dxa"/>
          </w:tcPr>
          <w:p w14:paraId="56EE56E3" w14:textId="77777777" w:rsidR="00DD6728" w:rsidRPr="00DD052A" w:rsidRDefault="00DD6728" w:rsidP="00DD052A">
            <w:pPr>
              <w:rPr>
                <w:rFonts w:cs="Times New Roman"/>
              </w:rPr>
            </w:pPr>
          </w:p>
        </w:tc>
      </w:tr>
      <w:tr w:rsidR="00DD6728" w:rsidRPr="009B124B" w14:paraId="56EE56ED" w14:textId="77777777" w:rsidTr="00DD052A">
        <w:tc>
          <w:tcPr>
            <w:tcW w:w="3686" w:type="dxa"/>
          </w:tcPr>
          <w:p w14:paraId="56EE56E5" w14:textId="77777777" w:rsidR="00DD6728" w:rsidRPr="00DD052A" w:rsidRDefault="00DD6728" w:rsidP="00DD052A">
            <w:pPr>
              <w:rPr>
                <w:rFonts w:cs="Times New Roman"/>
              </w:rPr>
            </w:pPr>
            <w:r w:rsidRPr="00DD052A">
              <w:rPr>
                <w:rFonts w:cs="Times New Roman"/>
              </w:rPr>
              <w:t>25−64-aastaste täiskasvanute elukestvas õppes osaluse määr (%)</w:t>
            </w:r>
            <w:r w:rsidRPr="00DD052A">
              <w:rPr>
                <w:rFonts w:cs="Times New Roman"/>
                <w:vertAlign w:val="superscript"/>
              </w:rPr>
              <w:footnoteReference w:id="18"/>
            </w:r>
          </w:p>
        </w:tc>
        <w:tc>
          <w:tcPr>
            <w:tcW w:w="674" w:type="dxa"/>
          </w:tcPr>
          <w:p w14:paraId="56EE56E6" w14:textId="77777777" w:rsidR="00DD6728" w:rsidRPr="00DD052A" w:rsidRDefault="00DD6728" w:rsidP="00DD052A">
            <w:pPr>
              <w:rPr>
                <w:rFonts w:cs="Times New Roman"/>
              </w:rPr>
            </w:pPr>
            <w:r w:rsidRPr="00DD052A">
              <w:rPr>
                <w:rFonts w:cs="Times New Roman"/>
              </w:rPr>
              <w:t>9,8</w:t>
            </w:r>
          </w:p>
        </w:tc>
        <w:tc>
          <w:tcPr>
            <w:tcW w:w="674" w:type="dxa"/>
          </w:tcPr>
          <w:p w14:paraId="56EE56E7" w14:textId="77777777" w:rsidR="00DD6728" w:rsidRPr="00DD052A" w:rsidRDefault="00DD6728" w:rsidP="00DD052A">
            <w:pPr>
              <w:rPr>
                <w:rFonts w:cs="Times New Roman"/>
              </w:rPr>
            </w:pPr>
            <w:r w:rsidRPr="00DD052A">
              <w:rPr>
                <w:rFonts w:cs="Times New Roman"/>
              </w:rPr>
              <w:t>10,5</w:t>
            </w:r>
          </w:p>
        </w:tc>
        <w:tc>
          <w:tcPr>
            <w:tcW w:w="675" w:type="dxa"/>
          </w:tcPr>
          <w:p w14:paraId="56EE56E8" w14:textId="77777777" w:rsidR="00DD6728" w:rsidRPr="00DD052A" w:rsidRDefault="00DD6728" w:rsidP="00DD052A">
            <w:pPr>
              <w:rPr>
                <w:rFonts w:cs="Times New Roman"/>
              </w:rPr>
            </w:pPr>
            <w:r w:rsidRPr="00DD052A">
              <w:rPr>
                <w:rFonts w:cs="Times New Roman"/>
              </w:rPr>
              <w:t>10,9</w:t>
            </w:r>
          </w:p>
        </w:tc>
        <w:tc>
          <w:tcPr>
            <w:tcW w:w="674" w:type="dxa"/>
          </w:tcPr>
          <w:p w14:paraId="56EE56E9" w14:textId="77777777" w:rsidR="00DD6728" w:rsidRPr="00DD052A" w:rsidRDefault="00DD6728" w:rsidP="00DD052A">
            <w:pPr>
              <w:rPr>
                <w:rFonts w:cs="Times New Roman"/>
              </w:rPr>
            </w:pPr>
            <w:r w:rsidRPr="00DD052A">
              <w:rPr>
                <w:rFonts w:cs="Times New Roman"/>
              </w:rPr>
              <w:t>12</w:t>
            </w:r>
          </w:p>
        </w:tc>
        <w:tc>
          <w:tcPr>
            <w:tcW w:w="847" w:type="dxa"/>
          </w:tcPr>
          <w:p w14:paraId="56EE56EA" w14:textId="77777777" w:rsidR="00DD6728" w:rsidRPr="00DD052A" w:rsidRDefault="00DD6728" w:rsidP="00DD052A">
            <w:pPr>
              <w:rPr>
                <w:rFonts w:cs="Times New Roman"/>
              </w:rPr>
            </w:pPr>
            <w:r w:rsidRPr="00DD052A">
              <w:rPr>
                <w:rFonts w:cs="Times New Roman"/>
              </w:rPr>
              <w:t>12,9</w:t>
            </w:r>
          </w:p>
        </w:tc>
        <w:tc>
          <w:tcPr>
            <w:tcW w:w="1134" w:type="dxa"/>
          </w:tcPr>
          <w:p w14:paraId="56EE56EB" w14:textId="77777777" w:rsidR="00DD6728" w:rsidRPr="00DD052A" w:rsidRDefault="00DD6728" w:rsidP="00DD052A">
            <w:pPr>
              <w:rPr>
                <w:rFonts w:cs="Times New Roman"/>
              </w:rPr>
            </w:pPr>
            <w:r w:rsidRPr="00DD052A">
              <w:rPr>
                <w:rFonts w:cs="Times New Roman"/>
              </w:rPr>
              <w:t>20%</w:t>
            </w:r>
          </w:p>
        </w:tc>
        <w:tc>
          <w:tcPr>
            <w:tcW w:w="958" w:type="dxa"/>
          </w:tcPr>
          <w:p w14:paraId="56EE56EC" w14:textId="77777777" w:rsidR="00DD6728" w:rsidRPr="00DD052A" w:rsidRDefault="00DD6728" w:rsidP="00DD052A">
            <w:pPr>
              <w:rPr>
                <w:rFonts w:cs="Times New Roman"/>
              </w:rPr>
            </w:pPr>
            <w:r w:rsidRPr="00DD052A">
              <w:rPr>
                <w:rFonts w:cs="Times New Roman"/>
              </w:rPr>
              <w:t>15%</w:t>
            </w:r>
          </w:p>
        </w:tc>
      </w:tr>
      <w:tr w:rsidR="00DD6728" w:rsidRPr="009B124B" w14:paraId="56EE570C" w14:textId="77777777" w:rsidTr="00DD052A">
        <w:tc>
          <w:tcPr>
            <w:tcW w:w="3686" w:type="dxa"/>
          </w:tcPr>
          <w:p w14:paraId="56EE56EE" w14:textId="77777777" w:rsidR="00DD6728" w:rsidRPr="00DD052A" w:rsidRDefault="00DD6728" w:rsidP="00DD052A">
            <w:pPr>
              <w:rPr>
                <w:rFonts w:cs="Times New Roman"/>
              </w:rPr>
            </w:pPr>
            <w:r w:rsidRPr="00DD052A">
              <w:rPr>
                <w:rFonts w:cs="Times New Roman"/>
              </w:rPr>
              <w:t>Madala haridustasemega mitteõppivate 18−24-aastaste osakaal (%)</w:t>
            </w:r>
            <w:r w:rsidRPr="00DD052A">
              <w:rPr>
                <w:rFonts w:cs="Times New Roman"/>
                <w:vertAlign w:val="superscript"/>
              </w:rPr>
              <w:footnoteReference w:id="19"/>
            </w:r>
          </w:p>
          <w:p w14:paraId="56EE56EF" w14:textId="77777777" w:rsidR="00DD6728" w:rsidRPr="00DD052A" w:rsidRDefault="00DD6728" w:rsidP="00DD052A">
            <w:pPr>
              <w:rPr>
                <w:rFonts w:cs="Times New Roman"/>
              </w:rPr>
            </w:pPr>
            <w:r w:rsidRPr="00DD052A">
              <w:rPr>
                <w:rFonts w:cs="Times New Roman"/>
              </w:rPr>
              <w:t>Mehed</w:t>
            </w:r>
          </w:p>
          <w:p w14:paraId="56EE56F0" w14:textId="77777777" w:rsidR="00DD6728" w:rsidRPr="00DD052A" w:rsidRDefault="00DD6728" w:rsidP="00DD052A">
            <w:pPr>
              <w:rPr>
                <w:rFonts w:cs="Times New Roman"/>
              </w:rPr>
            </w:pPr>
            <w:r w:rsidRPr="00DD052A">
              <w:rPr>
                <w:rFonts w:cs="Times New Roman"/>
              </w:rPr>
              <w:t>Naised</w:t>
            </w:r>
          </w:p>
        </w:tc>
        <w:tc>
          <w:tcPr>
            <w:tcW w:w="674" w:type="dxa"/>
          </w:tcPr>
          <w:p w14:paraId="56EE56F1" w14:textId="77777777" w:rsidR="00DD6728" w:rsidRPr="00DD052A" w:rsidRDefault="00DD6728" w:rsidP="00DD052A">
            <w:r w:rsidRPr="00DD052A">
              <w:t>14</w:t>
            </w:r>
          </w:p>
          <w:p w14:paraId="56EE56F2" w14:textId="77777777" w:rsidR="00DD6728" w:rsidRPr="00DD052A" w:rsidRDefault="00DD6728" w:rsidP="00DD052A"/>
          <w:p w14:paraId="56EE56F3" w14:textId="77777777" w:rsidR="00DD6728" w:rsidRPr="00DD052A" w:rsidRDefault="00DD6728" w:rsidP="00DD052A"/>
          <w:p w14:paraId="56EE56F4" w14:textId="77777777" w:rsidR="00DD6728" w:rsidRPr="00DD052A" w:rsidRDefault="00DD6728" w:rsidP="00DD052A">
            <w:r w:rsidRPr="00DD052A">
              <w:t>19,8</w:t>
            </w:r>
          </w:p>
          <w:p w14:paraId="56EE56F5" w14:textId="77777777" w:rsidR="00DD6728" w:rsidRPr="00DD052A" w:rsidRDefault="00DD6728" w:rsidP="00DD052A">
            <w:r w:rsidRPr="00DD052A">
              <w:t>8,2</w:t>
            </w:r>
          </w:p>
        </w:tc>
        <w:tc>
          <w:tcPr>
            <w:tcW w:w="674" w:type="dxa"/>
          </w:tcPr>
          <w:p w14:paraId="56EE56F6" w14:textId="77777777" w:rsidR="00DD6728" w:rsidRPr="00DD052A" w:rsidRDefault="00DD6728" w:rsidP="00DD052A">
            <w:r w:rsidRPr="00DD052A">
              <w:t>13,9</w:t>
            </w:r>
          </w:p>
          <w:p w14:paraId="56EE56F7" w14:textId="77777777" w:rsidR="00DD6728" w:rsidRPr="00DD052A" w:rsidRDefault="00DD6728" w:rsidP="00DD052A"/>
          <w:p w14:paraId="56EE56F8" w14:textId="77777777" w:rsidR="00DD6728" w:rsidRPr="00DD052A" w:rsidRDefault="00DD6728" w:rsidP="00DD052A"/>
          <w:p w14:paraId="56EE56F9" w14:textId="77777777" w:rsidR="00DD6728" w:rsidRPr="00DD052A" w:rsidRDefault="00DD6728" w:rsidP="00DD052A">
            <w:r w:rsidRPr="00DD052A">
              <w:t>18,4</w:t>
            </w:r>
          </w:p>
          <w:p w14:paraId="56EE56FA" w14:textId="77777777" w:rsidR="00DD6728" w:rsidRPr="00DD052A" w:rsidRDefault="00DD6728" w:rsidP="00DD052A">
            <w:r w:rsidRPr="00DD052A">
              <w:t>9,3</w:t>
            </w:r>
          </w:p>
        </w:tc>
        <w:tc>
          <w:tcPr>
            <w:tcW w:w="675" w:type="dxa"/>
          </w:tcPr>
          <w:p w14:paraId="56EE56FB" w14:textId="77777777" w:rsidR="00DD6728" w:rsidRPr="00DD052A" w:rsidRDefault="00DD6728" w:rsidP="00DD052A">
            <w:r w:rsidRPr="00DD052A">
              <w:t>11,6</w:t>
            </w:r>
          </w:p>
          <w:p w14:paraId="56EE56FC" w14:textId="77777777" w:rsidR="00DD6728" w:rsidRPr="00DD052A" w:rsidRDefault="00DD6728" w:rsidP="00DD052A"/>
          <w:p w14:paraId="56EE56FD" w14:textId="77777777" w:rsidR="00DD6728" w:rsidRPr="00DD052A" w:rsidRDefault="00DD6728" w:rsidP="00DD052A"/>
          <w:p w14:paraId="56EE56FE" w14:textId="77777777" w:rsidR="00DD6728" w:rsidRPr="00DD052A" w:rsidRDefault="00DD6728" w:rsidP="00DD052A">
            <w:r w:rsidRPr="00DD052A">
              <w:t>15,2</w:t>
            </w:r>
          </w:p>
          <w:p w14:paraId="56EE56FF" w14:textId="77777777" w:rsidR="00DD6728" w:rsidRPr="00DD052A" w:rsidRDefault="00DD6728" w:rsidP="00DD052A">
            <w:r w:rsidRPr="00DD052A">
              <w:t>7,8</w:t>
            </w:r>
          </w:p>
        </w:tc>
        <w:tc>
          <w:tcPr>
            <w:tcW w:w="674" w:type="dxa"/>
          </w:tcPr>
          <w:p w14:paraId="56EE5700" w14:textId="77777777" w:rsidR="00DD6728" w:rsidRPr="00DD052A" w:rsidRDefault="00DD6728" w:rsidP="00DD052A">
            <w:r w:rsidRPr="00DD052A">
              <w:t>10,9</w:t>
            </w:r>
          </w:p>
          <w:p w14:paraId="56EE5701" w14:textId="77777777" w:rsidR="00DD6728" w:rsidRPr="00DD052A" w:rsidRDefault="00DD6728" w:rsidP="00DD052A"/>
          <w:p w14:paraId="56EE5702" w14:textId="77777777" w:rsidR="00DD6728" w:rsidRPr="00DD052A" w:rsidRDefault="00DD6728" w:rsidP="00DD052A"/>
          <w:p w14:paraId="56EE5703" w14:textId="77777777" w:rsidR="00DD6728" w:rsidRPr="00DD052A" w:rsidRDefault="00DD6728" w:rsidP="00DD052A">
            <w:r w:rsidRPr="00DD052A">
              <w:t>13,1</w:t>
            </w:r>
          </w:p>
          <w:p w14:paraId="56EE5704" w14:textId="77777777" w:rsidR="00DD6728" w:rsidRPr="00DD052A" w:rsidRDefault="00DD6728" w:rsidP="00DD052A">
            <w:r w:rsidRPr="00DD052A">
              <w:t>8,6</w:t>
            </w:r>
          </w:p>
        </w:tc>
        <w:tc>
          <w:tcPr>
            <w:tcW w:w="847" w:type="dxa"/>
          </w:tcPr>
          <w:p w14:paraId="56EE5705" w14:textId="77777777" w:rsidR="00DD6728" w:rsidRPr="00DD052A" w:rsidRDefault="00DD6728" w:rsidP="00DD052A">
            <w:r w:rsidRPr="00DD052A">
              <w:t>10,5</w:t>
            </w:r>
          </w:p>
          <w:p w14:paraId="56EE5706" w14:textId="77777777" w:rsidR="00DD6728" w:rsidRPr="00DD052A" w:rsidRDefault="00DD6728" w:rsidP="00DD052A"/>
          <w:p w14:paraId="56EE5707" w14:textId="77777777" w:rsidR="00DD6728" w:rsidRPr="00DD052A" w:rsidRDefault="00DD6728" w:rsidP="00DD052A"/>
          <w:p w14:paraId="56EE5708" w14:textId="77777777" w:rsidR="00DD6728" w:rsidRPr="00DD052A" w:rsidRDefault="00DD6728" w:rsidP="00DD052A">
            <w:r w:rsidRPr="00DD052A">
              <w:t>14</w:t>
            </w:r>
          </w:p>
          <w:p w14:paraId="56EE5709" w14:textId="77777777" w:rsidR="00DD6728" w:rsidRPr="00DD052A" w:rsidRDefault="00DD6728" w:rsidP="00DD052A">
            <w:r w:rsidRPr="00DD052A">
              <w:t>7,1</w:t>
            </w:r>
          </w:p>
        </w:tc>
        <w:tc>
          <w:tcPr>
            <w:tcW w:w="1134" w:type="dxa"/>
          </w:tcPr>
          <w:p w14:paraId="56EE570A" w14:textId="77777777" w:rsidR="00DD6728" w:rsidRPr="00DD052A" w:rsidRDefault="00DD6728" w:rsidP="00DD052A">
            <w:r w:rsidRPr="00DD052A">
              <w:rPr>
                <w:rFonts w:eastAsiaTheme="minorEastAsia"/>
              </w:rPr>
              <w:t>&lt;</w:t>
            </w:r>
            <m:oMath>
              <m:r>
                <m:rPr>
                  <m:sty m:val="p"/>
                </m:rPr>
                <w:rPr>
                  <w:rFonts w:ascii="Cambria Math" w:hAnsi="Cambria Math"/>
                </w:rPr>
                <m:t>9%</m:t>
              </m:r>
            </m:oMath>
          </w:p>
        </w:tc>
        <w:tc>
          <w:tcPr>
            <w:tcW w:w="958" w:type="dxa"/>
          </w:tcPr>
          <w:p w14:paraId="56EE570B" w14:textId="77777777" w:rsidR="00DD6728" w:rsidRPr="00DD052A" w:rsidRDefault="00DD6728" w:rsidP="00DD052A">
            <w:r w:rsidRPr="00DD052A">
              <w:t>&lt;10%</w:t>
            </w:r>
          </w:p>
        </w:tc>
      </w:tr>
      <w:tr w:rsidR="00DD6728" w:rsidRPr="009B124B" w14:paraId="56EE5715" w14:textId="77777777" w:rsidTr="00DD052A">
        <w:tc>
          <w:tcPr>
            <w:tcW w:w="3686" w:type="dxa"/>
          </w:tcPr>
          <w:p w14:paraId="56EE570D" w14:textId="77777777" w:rsidR="00DD6728" w:rsidRPr="00DD052A" w:rsidRDefault="00DD6728" w:rsidP="00DD052A">
            <w:pPr>
              <w:rPr>
                <w:rFonts w:cs="Times New Roman"/>
              </w:rPr>
            </w:pPr>
            <w:r w:rsidRPr="00DD052A">
              <w:rPr>
                <w:rFonts w:cs="Times New Roman"/>
              </w:rPr>
              <w:t xml:space="preserve">1-3 aastat tagasi õpingud lõpetanud 20−34-aastaste tööhõive määr </w:t>
            </w:r>
            <w:r w:rsidRPr="00DD052A">
              <w:rPr>
                <w:rFonts w:cs="Times New Roman"/>
                <w:vertAlign w:val="superscript"/>
              </w:rPr>
              <w:footnoteReference w:id="20"/>
            </w:r>
          </w:p>
        </w:tc>
        <w:tc>
          <w:tcPr>
            <w:tcW w:w="674" w:type="dxa"/>
          </w:tcPr>
          <w:p w14:paraId="56EE570E" w14:textId="77777777" w:rsidR="00DD6728" w:rsidRPr="00DD052A" w:rsidRDefault="00DD6728" w:rsidP="00DD052A">
            <w:pPr>
              <w:rPr>
                <w:rFonts w:cs="Times New Roman"/>
              </w:rPr>
            </w:pPr>
            <w:r w:rsidRPr="00DD052A">
              <w:rPr>
                <w:rFonts w:cs="Times New Roman"/>
              </w:rPr>
              <w:t>81,9</w:t>
            </w:r>
          </w:p>
        </w:tc>
        <w:tc>
          <w:tcPr>
            <w:tcW w:w="674" w:type="dxa"/>
          </w:tcPr>
          <w:p w14:paraId="56EE570F" w14:textId="77777777" w:rsidR="00DD6728" w:rsidRPr="00DD052A" w:rsidRDefault="00DD6728" w:rsidP="00DD052A">
            <w:pPr>
              <w:rPr>
                <w:rFonts w:cs="Times New Roman"/>
              </w:rPr>
            </w:pPr>
            <w:r w:rsidRPr="00DD052A">
              <w:rPr>
                <w:rFonts w:cs="Times New Roman"/>
              </w:rPr>
              <w:t>65</w:t>
            </w:r>
          </w:p>
        </w:tc>
        <w:tc>
          <w:tcPr>
            <w:tcW w:w="675" w:type="dxa"/>
          </w:tcPr>
          <w:p w14:paraId="56EE5710" w14:textId="77777777" w:rsidR="00DD6728" w:rsidRPr="00DD052A" w:rsidRDefault="00DD6728" w:rsidP="00DD052A">
            <w:pPr>
              <w:rPr>
                <w:rFonts w:cs="Times New Roman"/>
              </w:rPr>
            </w:pPr>
            <w:r w:rsidRPr="00DD052A">
              <w:rPr>
                <w:rFonts w:cs="Times New Roman"/>
              </w:rPr>
              <w:t>64,1</w:t>
            </w:r>
          </w:p>
        </w:tc>
        <w:tc>
          <w:tcPr>
            <w:tcW w:w="674" w:type="dxa"/>
          </w:tcPr>
          <w:p w14:paraId="56EE5711" w14:textId="77777777" w:rsidR="00DD6728" w:rsidRPr="00DD052A" w:rsidRDefault="00DD6728" w:rsidP="00DD052A">
            <w:pPr>
              <w:rPr>
                <w:rFonts w:cs="Times New Roman"/>
              </w:rPr>
            </w:pPr>
            <w:r w:rsidRPr="00DD052A">
              <w:rPr>
                <w:rFonts w:cs="Times New Roman"/>
              </w:rPr>
              <w:t>73,2</w:t>
            </w:r>
          </w:p>
        </w:tc>
        <w:tc>
          <w:tcPr>
            <w:tcW w:w="847" w:type="dxa"/>
          </w:tcPr>
          <w:p w14:paraId="56EE5712" w14:textId="77777777" w:rsidR="00DD6728" w:rsidRPr="00DD052A" w:rsidRDefault="00DD6728" w:rsidP="00DD052A">
            <w:pPr>
              <w:rPr>
                <w:rFonts w:cs="Times New Roman"/>
              </w:rPr>
            </w:pPr>
            <w:r w:rsidRPr="00DD052A">
              <w:rPr>
                <w:rFonts w:cs="Times New Roman"/>
              </w:rPr>
              <w:t>73,9</w:t>
            </w:r>
          </w:p>
        </w:tc>
        <w:tc>
          <w:tcPr>
            <w:tcW w:w="1134" w:type="dxa"/>
          </w:tcPr>
          <w:p w14:paraId="56EE5713" w14:textId="77777777" w:rsidR="00DD6728" w:rsidRPr="00DD052A" w:rsidRDefault="00DD6728" w:rsidP="00DD052A">
            <w:pPr>
              <w:rPr>
                <w:rFonts w:cs="Times New Roman"/>
              </w:rPr>
            </w:pPr>
            <w:r w:rsidRPr="00DD052A">
              <w:rPr>
                <w:rFonts w:cs="Times New Roman"/>
              </w:rPr>
              <w:t>82%</w:t>
            </w:r>
          </w:p>
        </w:tc>
        <w:tc>
          <w:tcPr>
            <w:tcW w:w="958" w:type="dxa"/>
          </w:tcPr>
          <w:p w14:paraId="56EE5714" w14:textId="77777777" w:rsidR="00DD6728" w:rsidRPr="00DD052A" w:rsidRDefault="00DD6728" w:rsidP="00DD052A">
            <w:pPr>
              <w:rPr>
                <w:rFonts w:cs="Times New Roman"/>
              </w:rPr>
            </w:pPr>
            <w:r w:rsidRPr="00DD052A">
              <w:rPr>
                <w:rFonts w:cs="Times New Roman"/>
              </w:rPr>
              <w:t>82%</w:t>
            </w:r>
          </w:p>
        </w:tc>
      </w:tr>
      <w:tr w:rsidR="00DD6728" w:rsidRPr="009B124B" w14:paraId="56EE571E" w14:textId="77777777" w:rsidTr="00DD052A">
        <w:tc>
          <w:tcPr>
            <w:tcW w:w="3686" w:type="dxa"/>
          </w:tcPr>
          <w:p w14:paraId="56EE5716" w14:textId="77777777" w:rsidR="00DD6728" w:rsidRPr="00DD052A" w:rsidRDefault="00DD6728" w:rsidP="00DD052A">
            <w:pPr>
              <w:rPr>
                <w:rFonts w:cs="Times New Roman"/>
              </w:rPr>
            </w:pPr>
            <w:r w:rsidRPr="00DD052A">
              <w:rPr>
                <w:rFonts w:cs="Times New Roman"/>
              </w:rPr>
              <w:t>Digipädevustega</w:t>
            </w:r>
            <w:r w:rsidRPr="00DD052A">
              <w:rPr>
                <w:rFonts w:cs="Times New Roman"/>
                <w:vertAlign w:val="superscript"/>
              </w:rPr>
              <w:footnoteReference w:id="21"/>
            </w:r>
            <w:r w:rsidRPr="00DD052A">
              <w:rPr>
                <w:rFonts w:cs="Times New Roman"/>
              </w:rPr>
              <w:t xml:space="preserve"> 16−74-aastaste inimeste osakaal  (%)</w:t>
            </w:r>
            <w:r w:rsidRPr="00DD052A">
              <w:rPr>
                <w:rStyle w:val="FootnoteReference"/>
                <w:rFonts w:cs="Times New Roman"/>
              </w:rPr>
              <w:footnoteReference w:id="22"/>
            </w:r>
          </w:p>
        </w:tc>
        <w:tc>
          <w:tcPr>
            <w:tcW w:w="674" w:type="dxa"/>
          </w:tcPr>
          <w:p w14:paraId="56EE5717" w14:textId="77777777" w:rsidR="00DD6728" w:rsidRPr="00DD052A" w:rsidRDefault="00DD6728" w:rsidP="00DD052A">
            <w:pPr>
              <w:rPr>
                <w:rFonts w:cs="Times New Roman"/>
              </w:rPr>
            </w:pPr>
          </w:p>
        </w:tc>
        <w:tc>
          <w:tcPr>
            <w:tcW w:w="674" w:type="dxa"/>
          </w:tcPr>
          <w:p w14:paraId="56EE5718" w14:textId="77777777" w:rsidR="00DD6728" w:rsidRPr="00DD052A" w:rsidRDefault="00DD6728" w:rsidP="00DD052A">
            <w:pPr>
              <w:rPr>
                <w:rFonts w:cs="Times New Roman"/>
              </w:rPr>
            </w:pPr>
            <w:r w:rsidRPr="00DD052A">
              <w:rPr>
                <w:rFonts w:cs="Times New Roman"/>
              </w:rPr>
              <w:t>58</w:t>
            </w:r>
          </w:p>
        </w:tc>
        <w:tc>
          <w:tcPr>
            <w:tcW w:w="675" w:type="dxa"/>
          </w:tcPr>
          <w:p w14:paraId="56EE5719" w14:textId="77777777" w:rsidR="00DD6728" w:rsidRPr="00DD052A" w:rsidRDefault="00DD6728" w:rsidP="00DD052A">
            <w:pPr>
              <w:rPr>
                <w:rFonts w:cs="Times New Roman"/>
              </w:rPr>
            </w:pPr>
          </w:p>
        </w:tc>
        <w:tc>
          <w:tcPr>
            <w:tcW w:w="674" w:type="dxa"/>
          </w:tcPr>
          <w:p w14:paraId="56EE571A" w14:textId="77777777" w:rsidR="00DD6728" w:rsidRPr="00DD052A" w:rsidRDefault="00DD6728" w:rsidP="00DD052A">
            <w:pPr>
              <w:rPr>
                <w:rFonts w:cs="Times New Roman"/>
              </w:rPr>
            </w:pPr>
            <w:r w:rsidRPr="00DD052A">
              <w:rPr>
                <w:rFonts w:cs="Times New Roman"/>
              </w:rPr>
              <w:t>64</w:t>
            </w:r>
          </w:p>
        </w:tc>
        <w:tc>
          <w:tcPr>
            <w:tcW w:w="847" w:type="dxa"/>
          </w:tcPr>
          <w:p w14:paraId="56EE571B" w14:textId="77777777" w:rsidR="00DD6728" w:rsidRPr="00DD052A" w:rsidRDefault="00DD6728" w:rsidP="00DD052A">
            <w:pPr>
              <w:rPr>
                <w:rFonts w:cs="Times New Roman"/>
              </w:rPr>
            </w:pPr>
            <w:r w:rsidRPr="00DD052A">
              <w:rPr>
                <w:rFonts w:cs="Times New Roman"/>
              </w:rPr>
              <w:t>65</w:t>
            </w:r>
          </w:p>
        </w:tc>
        <w:tc>
          <w:tcPr>
            <w:tcW w:w="1134" w:type="dxa"/>
          </w:tcPr>
          <w:p w14:paraId="56EE571C" w14:textId="77777777" w:rsidR="00DD6728" w:rsidRPr="00DD052A" w:rsidRDefault="00DD6728" w:rsidP="00DD052A">
            <w:pPr>
              <w:rPr>
                <w:rFonts w:cs="Times New Roman"/>
              </w:rPr>
            </w:pPr>
            <w:r w:rsidRPr="00DD052A">
              <w:rPr>
                <w:rFonts w:cs="Times New Roman"/>
              </w:rPr>
              <w:t>80%</w:t>
            </w:r>
          </w:p>
        </w:tc>
        <w:tc>
          <w:tcPr>
            <w:tcW w:w="958" w:type="dxa"/>
          </w:tcPr>
          <w:p w14:paraId="56EE571D" w14:textId="77777777" w:rsidR="00DD6728" w:rsidRPr="00DD052A" w:rsidRDefault="00DD6728" w:rsidP="00DD052A">
            <w:pPr>
              <w:rPr>
                <w:rFonts w:cs="Times New Roman"/>
              </w:rPr>
            </w:pPr>
          </w:p>
        </w:tc>
      </w:tr>
      <w:tr w:rsidR="00DD6728" w:rsidRPr="009B124B" w14:paraId="56EE573A" w14:textId="77777777" w:rsidTr="00DD052A">
        <w:tc>
          <w:tcPr>
            <w:tcW w:w="3686" w:type="dxa"/>
          </w:tcPr>
          <w:p w14:paraId="56EE571F" w14:textId="77777777" w:rsidR="00DD6728" w:rsidRPr="00DD052A" w:rsidRDefault="00DD6728" w:rsidP="00DD052A">
            <w:pPr>
              <w:rPr>
                <w:rFonts w:cs="Times New Roman"/>
              </w:rPr>
            </w:pPr>
            <w:r w:rsidRPr="00DD052A">
              <w:rPr>
                <w:rFonts w:cs="Times New Roman"/>
              </w:rPr>
              <w:t>Tipptasemel oskustega õpilaste osakaal</w:t>
            </w:r>
            <w:r w:rsidRPr="00DD052A">
              <w:rPr>
                <w:rStyle w:val="FootnoteReference"/>
                <w:rFonts w:cs="Times New Roman"/>
              </w:rPr>
              <w:footnoteReference w:id="23"/>
            </w:r>
          </w:p>
          <w:p w14:paraId="56EE5720" w14:textId="77777777" w:rsidR="00DD6728" w:rsidRPr="00DD052A" w:rsidRDefault="00DD6728" w:rsidP="00DD052A">
            <w:pPr>
              <w:ind w:left="708"/>
              <w:rPr>
                <w:rFonts w:cs="Times New Roman"/>
              </w:rPr>
            </w:pPr>
            <w:r w:rsidRPr="00DD052A">
              <w:rPr>
                <w:rFonts w:cs="Times New Roman"/>
              </w:rPr>
              <w:t>Funktsionaalne lugemisoskus</w:t>
            </w:r>
          </w:p>
          <w:p w14:paraId="56EE5721" w14:textId="77777777" w:rsidR="00DD6728" w:rsidRPr="00DD052A" w:rsidRDefault="00DD6728" w:rsidP="00DD052A">
            <w:pPr>
              <w:ind w:left="708"/>
              <w:rPr>
                <w:rFonts w:cs="Times New Roman"/>
              </w:rPr>
            </w:pPr>
            <w:r w:rsidRPr="00DD052A">
              <w:rPr>
                <w:rFonts w:cs="Times New Roman"/>
              </w:rPr>
              <w:t>Matemaatiline kirjaoskus</w:t>
            </w:r>
          </w:p>
          <w:p w14:paraId="56EE5722" w14:textId="77777777" w:rsidR="00DD6728" w:rsidRPr="00DD052A" w:rsidRDefault="00DD6728" w:rsidP="00DD052A">
            <w:pPr>
              <w:ind w:left="708"/>
              <w:rPr>
                <w:rFonts w:cs="Times New Roman"/>
              </w:rPr>
            </w:pPr>
            <w:r w:rsidRPr="00DD052A">
              <w:rPr>
                <w:rFonts w:cs="Times New Roman"/>
              </w:rPr>
              <w:t>Loodusteaduslik kirjaoskus</w:t>
            </w:r>
          </w:p>
        </w:tc>
        <w:tc>
          <w:tcPr>
            <w:tcW w:w="674" w:type="dxa"/>
          </w:tcPr>
          <w:p w14:paraId="56EE5723" w14:textId="77777777" w:rsidR="00DD6728" w:rsidRPr="00DD052A" w:rsidRDefault="00DD6728" w:rsidP="00DD052A">
            <w:pPr>
              <w:rPr>
                <w:rFonts w:cs="Times New Roman"/>
                <w:i/>
              </w:rPr>
            </w:pPr>
            <w:r w:rsidRPr="00DD052A">
              <w:rPr>
                <w:rFonts w:cs="Times New Roman"/>
                <w:i/>
              </w:rPr>
              <w:t>2006</w:t>
            </w:r>
          </w:p>
          <w:p w14:paraId="56EE5724" w14:textId="77777777" w:rsidR="00DD6728" w:rsidRPr="00DD052A" w:rsidRDefault="00DD6728" w:rsidP="00DD052A">
            <w:pPr>
              <w:rPr>
                <w:rFonts w:cs="Times New Roman"/>
              </w:rPr>
            </w:pPr>
          </w:p>
          <w:p w14:paraId="56EE5725" w14:textId="77777777" w:rsidR="00DD6728" w:rsidRPr="00DD052A" w:rsidRDefault="00DD6728" w:rsidP="00DD052A">
            <w:pPr>
              <w:rPr>
                <w:rFonts w:cs="Times New Roman"/>
              </w:rPr>
            </w:pPr>
            <w:r w:rsidRPr="00DD052A">
              <w:rPr>
                <w:rFonts w:cs="Times New Roman"/>
              </w:rPr>
              <w:t>6,0</w:t>
            </w:r>
          </w:p>
          <w:p w14:paraId="56EE5726" w14:textId="77777777" w:rsidR="00DD6728" w:rsidRPr="00DD052A" w:rsidRDefault="00DD6728" w:rsidP="00DD052A">
            <w:pPr>
              <w:rPr>
                <w:rFonts w:cs="Times New Roman"/>
              </w:rPr>
            </w:pPr>
            <w:r w:rsidRPr="00DD052A">
              <w:rPr>
                <w:rFonts w:cs="Times New Roman"/>
              </w:rPr>
              <w:t>12,6</w:t>
            </w:r>
          </w:p>
          <w:p w14:paraId="56EE5727" w14:textId="77777777" w:rsidR="00DD6728" w:rsidRPr="00DD052A" w:rsidRDefault="00DD6728" w:rsidP="00DD052A">
            <w:pPr>
              <w:rPr>
                <w:rFonts w:cs="Times New Roman"/>
              </w:rPr>
            </w:pPr>
            <w:r w:rsidRPr="00DD052A">
              <w:rPr>
                <w:rFonts w:cs="Times New Roman"/>
              </w:rPr>
              <w:t>11,5</w:t>
            </w:r>
          </w:p>
        </w:tc>
        <w:tc>
          <w:tcPr>
            <w:tcW w:w="674" w:type="dxa"/>
          </w:tcPr>
          <w:p w14:paraId="56EE5728" w14:textId="77777777" w:rsidR="00DD6728" w:rsidRPr="00DD052A" w:rsidRDefault="00DD6728" w:rsidP="00DD052A">
            <w:pPr>
              <w:rPr>
                <w:rFonts w:cs="Times New Roman"/>
                <w:i/>
              </w:rPr>
            </w:pPr>
            <w:r w:rsidRPr="00DD052A">
              <w:rPr>
                <w:rFonts w:cs="Times New Roman"/>
                <w:i/>
              </w:rPr>
              <w:t>2009</w:t>
            </w:r>
          </w:p>
          <w:p w14:paraId="56EE5729" w14:textId="77777777" w:rsidR="00DD6728" w:rsidRPr="00DD052A" w:rsidRDefault="00DD6728" w:rsidP="00DD052A">
            <w:pPr>
              <w:rPr>
                <w:rFonts w:cs="Times New Roman"/>
              </w:rPr>
            </w:pPr>
          </w:p>
          <w:p w14:paraId="56EE572A" w14:textId="77777777" w:rsidR="00DD6728" w:rsidRPr="00DD052A" w:rsidRDefault="00DD6728" w:rsidP="00DD052A">
            <w:pPr>
              <w:rPr>
                <w:rFonts w:cs="Times New Roman"/>
              </w:rPr>
            </w:pPr>
            <w:r w:rsidRPr="00DD052A">
              <w:rPr>
                <w:rFonts w:cs="Times New Roman"/>
              </w:rPr>
              <w:t>6,0</w:t>
            </w:r>
          </w:p>
          <w:p w14:paraId="56EE572B" w14:textId="77777777" w:rsidR="00DD6728" w:rsidRPr="00DD052A" w:rsidRDefault="00DD6728" w:rsidP="00DD052A">
            <w:pPr>
              <w:rPr>
                <w:rFonts w:cs="Times New Roman"/>
              </w:rPr>
            </w:pPr>
            <w:r w:rsidRPr="00DD052A">
              <w:rPr>
                <w:rFonts w:cs="Times New Roman"/>
              </w:rPr>
              <w:t>12,8</w:t>
            </w:r>
          </w:p>
          <w:p w14:paraId="56EE572C" w14:textId="77777777" w:rsidR="00DD6728" w:rsidRPr="00DD052A" w:rsidRDefault="00DD6728" w:rsidP="00DD052A">
            <w:pPr>
              <w:rPr>
                <w:rFonts w:cs="Times New Roman"/>
              </w:rPr>
            </w:pPr>
            <w:r w:rsidRPr="00DD052A">
              <w:rPr>
                <w:rFonts w:cs="Times New Roman"/>
              </w:rPr>
              <w:t>10,4</w:t>
            </w:r>
          </w:p>
        </w:tc>
        <w:tc>
          <w:tcPr>
            <w:tcW w:w="675" w:type="dxa"/>
          </w:tcPr>
          <w:p w14:paraId="56EE572D" w14:textId="77777777" w:rsidR="00DD6728" w:rsidRPr="00DD052A" w:rsidRDefault="00DD6728" w:rsidP="00DD052A">
            <w:pPr>
              <w:rPr>
                <w:rFonts w:cs="Times New Roman"/>
              </w:rPr>
            </w:pPr>
          </w:p>
        </w:tc>
        <w:tc>
          <w:tcPr>
            <w:tcW w:w="674" w:type="dxa"/>
          </w:tcPr>
          <w:p w14:paraId="56EE572E" w14:textId="77777777" w:rsidR="00DD6728" w:rsidRPr="00DD052A" w:rsidRDefault="00DD6728" w:rsidP="00DD052A">
            <w:pPr>
              <w:rPr>
                <w:rFonts w:cs="Times New Roman"/>
              </w:rPr>
            </w:pPr>
          </w:p>
        </w:tc>
        <w:tc>
          <w:tcPr>
            <w:tcW w:w="847" w:type="dxa"/>
          </w:tcPr>
          <w:p w14:paraId="56EE572F" w14:textId="77777777" w:rsidR="00DD6728" w:rsidRPr="00DD052A" w:rsidRDefault="00DD6728" w:rsidP="00DD052A">
            <w:pPr>
              <w:rPr>
                <w:rFonts w:cs="Times New Roman"/>
                <w:i/>
              </w:rPr>
            </w:pPr>
            <w:r w:rsidRPr="00DD052A">
              <w:rPr>
                <w:rFonts w:cs="Times New Roman"/>
                <w:i/>
              </w:rPr>
              <w:t>2012</w:t>
            </w:r>
          </w:p>
          <w:p w14:paraId="56EE5730" w14:textId="77777777" w:rsidR="00DD6728" w:rsidRPr="00DD052A" w:rsidRDefault="00DD6728" w:rsidP="00DD052A">
            <w:pPr>
              <w:rPr>
                <w:rFonts w:cs="Times New Roman"/>
              </w:rPr>
            </w:pPr>
          </w:p>
          <w:p w14:paraId="56EE5731" w14:textId="77777777" w:rsidR="00DD6728" w:rsidRPr="00DD052A" w:rsidRDefault="00DD6728" w:rsidP="00DD052A">
            <w:pPr>
              <w:rPr>
                <w:rFonts w:cs="Times New Roman"/>
              </w:rPr>
            </w:pPr>
            <w:r w:rsidRPr="00DD052A">
              <w:rPr>
                <w:rFonts w:cs="Times New Roman"/>
              </w:rPr>
              <w:t>8,4</w:t>
            </w:r>
          </w:p>
          <w:p w14:paraId="56EE5732" w14:textId="77777777" w:rsidR="00DD6728" w:rsidRPr="00DD052A" w:rsidRDefault="00DD6728" w:rsidP="00DD052A">
            <w:pPr>
              <w:rPr>
                <w:rFonts w:cs="Times New Roman"/>
              </w:rPr>
            </w:pPr>
            <w:r w:rsidRPr="00DD052A">
              <w:rPr>
                <w:rFonts w:cs="Times New Roman"/>
              </w:rPr>
              <w:t>14,6</w:t>
            </w:r>
          </w:p>
          <w:p w14:paraId="56EE5733" w14:textId="77777777" w:rsidR="00DD6728" w:rsidRPr="00DD052A" w:rsidRDefault="00DD6728" w:rsidP="00DD052A">
            <w:pPr>
              <w:rPr>
                <w:rFonts w:cs="Times New Roman"/>
              </w:rPr>
            </w:pPr>
            <w:r w:rsidRPr="00DD052A">
              <w:rPr>
                <w:rFonts w:cs="Times New Roman"/>
              </w:rPr>
              <w:t>12,8</w:t>
            </w:r>
          </w:p>
        </w:tc>
        <w:tc>
          <w:tcPr>
            <w:tcW w:w="1134" w:type="dxa"/>
          </w:tcPr>
          <w:p w14:paraId="56EE5734" w14:textId="77777777" w:rsidR="00DD6728" w:rsidRPr="00DD052A" w:rsidRDefault="00DD6728" w:rsidP="00DD052A">
            <w:pPr>
              <w:rPr>
                <w:rFonts w:cs="Times New Roman"/>
                <w:i/>
              </w:rPr>
            </w:pPr>
            <w:r w:rsidRPr="00DD052A">
              <w:rPr>
                <w:rFonts w:cs="Times New Roman"/>
                <w:i/>
              </w:rPr>
              <w:t>2018</w:t>
            </w:r>
          </w:p>
          <w:p w14:paraId="56EE5735" w14:textId="77777777" w:rsidR="00DD6728" w:rsidRPr="00DD052A" w:rsidRDefault="00DD6728" w:rsidP="00DD052A">
            <w:pPr>
              <w:rPr>
                <w:rFonts w:cs="Times New Roman"/>
              </w:rPr>
            </w:pPr>
          </w:p>
          <w:p w14:paraId="56EE5736" w14:textId="77777777" w:rsidR="00DD6728" w:rsidRPr="00DD052A" w:rsidRDefault="00DD6728" w:rsidP="00DD052A">
            <w:pPr>
              <w:rPr>
                <w:rFonts w:cs="Times New Roman"/>
              </w:rPr>
            </w:pPr>
            <w:r w:rsidRPr="00DD052A">
              <w:rPr>
                <w:rFonts w:cs="Times New Roman"/>
              </w:rPr>
              <w:t>10%</w:t>
            </w:r>
          </w:p>
          <w:p w14:paraId="56EE5737" w14:textId="77777777" w:rsidR="00DD6728" w:rsidRPr="00DD052A" w:rsidRDefault="00DD6728" w:rsidP="00DD052A">
            <w:pPr>
              <w:rPr>
                <w:rFonts w:cs="Times New Roman"/>
              </w:rPr>
            </w:pPr>
            <w:r w:rsidRPr="00DD052A">
              <w:rPr>
                <w:rFonts w:cs="Times New Roman"/>
              </w:rPr>
              <w:t>16%</w:t>
            </w:r>
          </w:p>
          <w:p w14:paraId="56EE5738" w14:textId="77777777" w:rsidR="00DD6728" w:rsidRPr="00DD052A" w:rsidRDefault="00DD6728" w:rsidP="00DD052A">
            <w:pPr>
              <w:rPr>
                <w:rFonts w:cs="Times New Roman"/>
              </w:rPr>
            </w:pPr>
            <w:r w:rsidRPr="00DD052A">
              <w:rPr>
                <w:rFonts w:cs="Times New Roman"/>
              </w:rPr>
              <w:t>14,4%</w:t>
            </w:r>
          </w:p>
        </w:tc>
        <w:tc>
          <w:tcPr>
            <w:tcW w:w="958" w:type="dxa"/>
          </w:tcPr>
          <w:p w14:paraId="56EE5739" w14:textId="77777777" w:rsidR="00DD6728" w:rsidRPr="00DD052A" w:rsidRDefault="00DD6728" w:rsidP="00DD052A">
            <w:pPr>
              <w:rPr>
                <w:rFonts w:cs="Times New Roman"/>
              </w:rPr>
            </w:pPr>
          </w:p>
        </w:tc>
      </w:tr>
      <w:tr w:rsidR="00DD6728" w:rsidRPr="009B124B" w14:paraId="56EE5743" w14:textId="77777777" w:rsidTr="00DD052A">
        <w:tc>
          <w:tcPr>
            <w:tcW w:w="3686" w:type="dxa"/>
          </w:tcPr>
          <w:p w14:paraId="56EE573B" w14:textId="77777777" w:rsidR="00DD6728" w:rsidRPr="00DD052A" w:rsidRDefault="00DD6728" w:rsidP="00DD052A">
            <w:pPr>
              <w:rPr>
                <w:rFonts w:cs="Times New Roman"/>
              </w:rPr>
            </w:pPr>
            <w:r w:rsidRPr="00DD052A">
              <w:t>Üldhariduskooli õpetajate keskmine palk võrdluses kõrgharidusega töötaja keskmise palgaga Eestis</w:t>
            </w:r>
            <w:r w:rsidRPr="00DD052A">
              <w:rPr>
                <w:rFonts w:cs="Times New Roman"/>
                <w:vertAlign w:val="superscript"/>
              </w:rPr>
              <w:t xml:space="preserve"> </w:t>
            </w:r>
            <w:r w:rsidRPr="00DD052A">
              <w:rPr>
                <w:rFonts w:cs="Times New Roman"/>
                <w:vertAlign w:val="superscript"/>
              </w:rPr>
              <w:footnoteReference w:id="24"/>
            </w:r>
          </w:p>
        </w:tc>
        <w:tc>
          <w:tcPr>
            <w:tcW w:w="674" w:type="dxa"/>
          </w:tcPr>
          <w:p w14:paraId="56EE573C" w14:textId="77777777" w:rsidR="00DD6728" w:rsidRPr="00DD052A" w:rsidRDefault="00DD6728" w:rsidP="00DD052A">
            <w:pPr>
              <w:rPr>
                <w:rFonts w:cs="Times New Roman"/>
              </w:rPr>
            </w:pPr>
          </w:p>
        </w:tc>
        <w:tc>
          <w:tcPr>
            <w:tcW w:w="674" w:type="dxa"/>
          </w:tcPr>
          <w:p w14:paraId="56EE573D" w14:textId="77777777" w:rsidR="00DD6728" w:rsidRPr="00DD052A" w:rsidRDefault="00DD6728" w:rsidP="00DD052A">
            <w:pPr>
              <w:rPr>
                <w:rFonts w:cs="Times New Roman"/>
              </w:rPr>
            </w:pPr>
            <w:r w:rsidRPr="00DD052A">
              <w:rPr>
                <w:rFonts w:cs="Times New Roman"/>
              </w:rPr>
              <w:t>0,82</w:t>
            </w:r>
          </w:p>
        </w:tc>
        <w:tc>
          <w:tcPr>
            <w:tcW w:w="675" w:type="dxa"/>
          </w:tcPr>
          <w:p w14:paraId="56EE573E" w14:textId="77777777" w:rsidR="00DD6728" w:rsidRPr="00DD052A" w:rsidRDefault="00DD6728" w:rsidP="00DD052A">
            <w:pPr>
              <w:rPr>
                <w:rFonts w:cs="Times New Roman"/>
              </w:rPr>
            </w:pPr>
            <w:r w:rsidRPr="00DD052A">
              <w:rPr>
                <w:rFonts w:cs="Times New Roman"/>
              </w:rPr>
              <w:t>0,57</w:t>
            </w:r>
          </w:p>
        </w:tc>
        <w:tc>
          <w:tcPr>
            <w:tcW w:w="674" w:type="dxa"/>
          </w:tcPr>
          <w:p w14:paraId="56EE573F" w14:textId="77777777" w:rsidR="00DD6728" w:rsidRPr="00DD052A" w:rsidRDefault="00DD6728" w:rsidP="00DD052A">
            <w:pPr>
              <w:rPr>
                <w:rFonts w:cs="Times New Roman"/>
              </w:rPr>
            </w:pPr>
            <w:r w:rsidRPr="00DD052A">
              <w:rPr>
                <w:rFonts w:cs="Times New Roman"/>
              </w:rPr>
              <w:t>0,64</w:t>
            </w:r>
          </w:p>
        </w:tc>
        <w:tc>
          <w:tcPr>
            <w:tcW w:w="847" w:type="dxa"/>
          </w:tcPr>
          <w:p w14:paraId="56EE5740" w14:textId="77777777" w:rsidR="00DD6728" w:rsidRPr="00DD052A" w:rsidRDefault="00DD6728" w:rsidP="00DD052A">
            <w:pPr>
              <w:rPr>
                <w:rFonts w:cs="Times New Roman"/>
              </w:rPr>
            </w:pPr>
          </w:p>
        </w:tc>
        <w:tc>
          <w:tcPr>
            <w:tcW w:w="1134" w:type="dxa"/>
          </w:tcPr>
          <w:p w14:paraId="56EE5741" w14:textId="77777777" w:rsidR="00DD6728" w:rsidRPr="00DD052A" w:rsidRDefault="00DD6728" w:rsidP="00DD052A">
            <w:pPr>
              <w:rPr>
                <w:rFonts w:cs="Times New Roman"/>
              </w:rPr>
            </w:pPr>
            <w:r w:rsidRPr="00DD052A">
              <w:rPr>
                <w:rFonts w:cs="Times New Roman"/>
              </w:rPr>
              <w:t>≥1,0</w:t>
            </w:r>
          </w:p>
        </w:tc>
        <w:tc>
          <w:tcPr>
            <w:tcW w:w="958" w:type="dxa"/>
          </w:tcPr>
          <w:p w14:paraId="56EE5742" w14:textId="77777777" w:rsidR="00DD6728" w:rsidRPr="00DD052A" w:rsidRDefault="00DD6728" w:rsidP="00DD052A">
            <w:pPr>
              <w:rPr>
                <w:rFonts w:cs="Times New Roman"/>
              </w:rPr>
            </w:pPr>
          </w:p>
        </w:tc>
      </w:tr>
      <w:tr w:rsidR="00DD6728" w:rsidRPr="009B124B" w14:paraId="56EE574C" w14:textId="77777777" w:rsidTr="00DD052A">
        <w:tc>
          <w:tcPr>
            <w:tcW w:w="3686" w:type="dxa"/>
          </w:tcPr>
          <w:p w14:paraId="56EE5744" w14:textId="77777777" w:rsidR="00DD6728" w:rsidRPr="00DD052A" w:rsidRDefault="00DD6728" w:rsidP="00DD052A">
            <w:pPr>
              <w:rPr>
                <w:rFonts w:cs="Times New Roman"/>
                <w:b/>
              </w:rPr>
            </w:pPr>
            <w:r w:rsidRPr="00DD052A">
              <w:rPr>
                <w:rFonts w:cs="Times New Roman"/>
                <w:b/>
              </w:rPr>
              <w:t>I Muutunud õpikäsitus</w:t>
            </w:r>
          </w:p>
        </w:tc>
        <w:tc>
          <w:tcPr>
            <w:tcW w:w="674" w:type="dxa"/>
          </w:tcPr>
          <w:p w14:paraId="56EE5745" w14:textId="77777777" w:rsidR="00DD6728" w:rsidRPr="00DD052A" w:rsidRDefault="00DD6728" w:rsidP="00DD052A">
            <w:pPr>
              <w:rPr>
                <w:rFonts w:cs="Times New Roman"/>
                <w:b/>
              </w:rPr>
            </w:pPr>
          </w:p>
        </w:tc>
        <w:tc>
          <w:tcPr>
            <w:tcW w:w="674" w:type="dxa"/>
          </w:tcPr>
          <w:p w14:paraId="56EE5746" w14:textId="77777777" w:rsidR="00DD6728" w:rsidRPr="00DD052A" w:rsidRDefault="00DD6728" w:rsidP="00DD052A">
            <w:pPr>
              <w:rPr>
                <w:rFonts w:cs="Times New Roman"/>
                <w:b/>
              </w:rPr>
            </w:pPr>
          </w:p>
        </w:tc>
        <w:tc>
          <w:tcPr>
            <w:tcW w:w="675" w:type="dxa"/>
          </w:tcPr>
          <w:p w14:paraId="56EE5747" w14:textId="77777777" w:rsidR="00DD6728" w:rsidRPr="00DD052A" w:rsidRDefault="00DD6728" w:rsidP="00DD052A">
            <w:pPr>
              <w:rPr>
                <w:rFonts w:cs="Times New Roman"/>
                <w:b/>
              </w:rPr>
            </w:pPr>
          </w:p>
        </w:tc>
        <w:tc>
          <w:tcPr>
            <w:tcW w:w="674" w:type="dxa"/>
          </w:tcPr>
          <w:p w14:paraId="56EE5748" w14:textId="77777777" w:rsidR="00DD6728" w:rsidRPr="00DD052A" w:rsidRDefault="00DD6728" w:rsidP="00DD052A">
            <w:pPr>
              <w:rPr>
                <w:rFonts w:cs="Times New Roman"/>
                <w:b/>
              </w:rPr>
            </w:pPr>
          </w:p>
        </w:tc>
        <w:tc>
          <w:tcPr>
            <w:tcW w:w="847" w:type="dxa"/>
          </w:tcPr>
          <w:p w14:paraId="56EE5749" w14:textId="77777777" w:rsidR="00DD6728" w:rsidRPr="00DD052A" w:rsidRDefault="00DD6728" w:rsidP="00DD052A">
            <w:pPr>
              <w:rPr>
                <w:rFonts w:cs="Times New Roman"/>
                <w:b/>
              </w:rPr>
            </w:pPr>
          </w:p>
        </w:tc>
        <w:tc>
          <w:tcPr>
            <w:tcW w:w="1134" w:type="dxa"/>
          </w:tcPr>
          <w:p w14:paraId="56EE574A" w14:textId="77777777" w:rsidR="00DD6728" w:rsidRPr="00DD052A" w:rsidRDefault="00DD6728" w:rsidP="00DD052A">
            <w:pPr>
              <w:rPr>
                <w:rFonts w:cs="Times New Roman"/>
                <w:b/>
              </w:rPr>
            </w:pPr>
          </w:p>
        </w:tc>
        <w:tc>
          <w:tcPr>
            <w:tcW w:w="958" w:type="dxa"/>
          </w:tcPr>
          <w:p w14:paraId="56EE574B" w14:textId="77777777" w:rsidR="00DD6728" w:rsidRPr="00DD052A" w:rsidRDefault="00DD6728" w:rsidP="00DD052A">
            <w:pPr>
              <w:rPr>
                <w:rFonts w:cs="Times New Roman"/>
                <w:b/>
              </w:rPr>
            </w:pPr>
          </w:p>
        </w:tc>
      </w:tr>
      <w:tr w:rsidR="00DD6728" w:rsidRPr="009B124B" w14:paraId="56EE5769" w14:textId="77777777" w:rsidTr="00DD052A">
        <w:tc>
          <w:tcPr>
            <w:tcW w:w="3686" w:type="dxa"/>
          </w:tcPr>
          <w:p w14:paraId="56EE574D" w14:textId="77777777" w:rsidR="00DD6728" w:rsidRPr="00DD052A" w:rsidRDefault="00DD6728" w:rsidP="00DD052A">
            <w:pPr>
              <w:rPr>
                <w:rFonts w:cs="Times New Roman"/>
              </w:rPr>
            </w:pPr>
            <w:r w:rsidRPr="00DD052A">
              <w:rPr>
                <w:rFonts w:cs="Times New Roman"/>
              </w:rPr>
              <w:t>Madalal tasemel oskustega õpilaste  osakaal (%)</w:t>
            </w:r>
            <w:r w:rsidRPr="00DD052A">
              <w:rPr>
                <w:rStyle w:val="FootnoteReference"/>
                <w:rFonts w:cs="Times New Roman"/>
              </w:rPr>
              <w:footnoteReference w:id="25"/>
            </w:r>
          </w:p>
          <w:p w14:paraId="56EE574E" w14:textId="77777777" w:rsidR="00DD6728" w:rsidRPr="00DD052A" w:rsidRDefault="00DD6728" w:rsidP="00DD052A">
            <w:pPr>
              <w:rPr>
                <w:rFonts w:cs="Times New Roman"/>
              </w:rPr>
            </w:pPr>
            <w:r w:rsidRPr="00DD052A">
              <w:rPr>
                <w:rFonts w:cs="Times New Roman"/>
              </w:rPr>
              <w:t>Funktsionaalne lugemisoskus Matemaatiline kirjaoskus</w:t>
            </w:r>
          </w:p>
          <w:p w14:paraId="56EE574F" w14:textId="77777777" w:rsidR="00DD6728" w:rsidRPr="00DD052A" w:rsidRDefault="00DD6728" w:rsidP="00DD052A">
            <w:pPr>
              <w:rPr>
                <w:rFonts w:cs="Times New Roman"/>
              </w:rPr>
            </w:pPr>
            <w:r w:rsidRPr="00DD052A">
              <w:rPr>
                <w:rFonts w:cs="Times New Roman"/>
              </w:rPr>
              <w:t>Loodusteaduslik kirjaoskus</w:t>
            </w:r>
          </w:p>
        </w:tc>
        <w:tc>
          <w:tcPr>
            <w:tcW w:w="674" w:type="dxa"/>
          </w:tcPr>
          <w:p w14:paraId="56EE5750" w14:textId="77777777" w:rsidR="00DD6728" w:rsidRPr="00DD052A" w:rsidRDefault="00DD6728" w:rsidP="00DD052A">
            <w:pPr>
              <w:rPr>
                <w:rFonts w:cs="Times New Roman"/>
                <w:i/>
              </w:rPr>
            </w:pPr>
            <w:r w:rsidRPr="00DD052A">
              <w:rPr>
                <w:rFonts w:cs="Times New Roman"/>
                <w:i/>
              </w:rPr>
              <w:t>2006</w:t>
            </w:r>
          </w:p>
          <w:p w14:paraId="56EE5751" w14:textId="77777777" w:rsidR="00DD6728" w:rsidRPr="00DD052A" w:rsidRDefault="00DD6728" w:rsidP="00DD052A">
            <w:pPr>
              <w:rPr>
                <w:rFonts w:cs="Times New Roman"/>
              </w:rPr>
            </w:pPr>
          </w:p>
          <w:p w14:paraId="56EE5752" w14:textId="77777777" w:rsidR="00DD6728" w:rsidRPr="00DD052A" w:rsidRDefault="00DD6728" w:rsidP="00DD052A">
            <w:pPr>
              <w:rPr>
                <w:rFonts w:cs="Times New Roman"/>
              </w:rPr>
            </w:pPr>
            <w:r w:rsidRPr="00DD052A">
              <w:rPr>
                <w:rFonts w:cs="Times New Roman"/>
              </w:rPr>
              <w:t>13,6</w:t>
            </w:r>
          </w:p>
          <w:p w14:paraId="56EE5753" w14:textId="77777777" w:rsidR="00DD6728" w:rsidRPr="00DD052A" w:rsidRDefault="00DD6728" w:rsidP="00DD052A">
            <w:pPr>
              <w:rPr>
                <w:rFonts w:cs="Times New Roman"/>
              </w:rPr>
            </w:pPr>
            <w:r w:rsidRPr="00DD052A">
              <w:rPr>
                <w:rFonts w:cs="Times New Roman"/>
              </w:rPr>
              <w:t>12,1</w:t>
            </w:r>
          </w:p>
          <w:p w14:paraId="56EE5754" w14:textId="77777777" w:rsidR="00DD6728" w:rsidRPr="00DD052A" w:rsidRDefault="00DD6728" w:rsidP="00DD052A">
            <w:pPr>
              <w:rPr>
                <w:rFonts w:cs="Times New Roman"/>
              </w:rPr>
            </w:pPr>
            <w:r w:rsidRPr="00DD052A">
              <w:rPr>
                <w:rFonts w:cs="Times New Roman"/>
              </w:rPr>
              <w:t>7,7</w:t>
            </w:r>
          </w:p>
        </w:tc>
        <w:tc>
          <w:tcPr>
            <w:tcW w:w="674" w:type="dxa"/>
          </w:tcPr>
          <w:p w14:paraId="56EE5755" w14:textId="77777777" w:rsidR="00DD6728" w:rsidRPr="00DD052A" w:rsidRDefault="00DD6728" w:rsidP="00DD052A">
            <w:pPr>
              <w:rPr>
                <w:rFonts w:cs="Times New Roman"/>
                <w:i/>
              </w:rPr>
            </w:pPr>
            <w:r w:rsidRPr="00DD052A">
              <w:rPr>
                <w:rFonts w:cs="Times New Roman"/>
                <w:i/>
              </w:rPr>
              <w:t>2009</w:t>
            </w:r>
          </w:p>
          <w:p w14:paraId="56EE5756" w14:textId="77777777" w:rsidR="00DD6728" w:rsidRPr="00DD052A" w:rsidRDefault="00DD6728" w:rsidP="00DD052A">
            <w:pPr>
              <w:rPr>
                <w:rFonts w:cs="Times New Roman"/>
              </w:rPr>
            </w:pPr>
          </w:p>
          <w:p w14:paraId="56EE5757" w14:textId="77777777" w:rsidR="00DD6728" w:rsidRPr="00DD052A" w:rsidRDefault="00DD6728" w:rsidP="00DD052A">
            <w:pPr>
              <w:rPr>
                <w:rFonts w:cs="Times New Roman"/>
              </w:rPr>
            </w:pPr>
            <w:r w:rsidRPr="00DD052A">
              <w:rPr>
                <w:rFonts w:cs="Times New Roman"/>
              </w:rPr>
              <w:t>13,3</w:t>
            </w:r>
          </w:p>
          <w:p w14:paraId="56EE5758" w14:textId="77777777" w:rsidR="00DD6728" w:rsidRPr="00DD052A" w:rsidRDefault="00DD6728" w:rsidP="00DD052A">
            <w:pPr>
              <w:rPr>
                <w:rFonts w:cs="Times New Roman"/>
              </w:rPr>
            </w:pPr>
            <w:r w:rsidRPr="00DD052A">
              <w:rPr>
                <w:rFonts w:cs="Times New Roman"/>
              </w:rPr>
              <w:t>12,9</w:t>
            </w:r>
          </w:p>
          <w:p w14:paraId="56EE5759" w14:textId="77777777" w:rsidR="00DD6728" w:rsidRPr="00DD052A" w:rsidRDefault="00DD6728" w:rsidP="00DD052A">
            <w:pPr>
              <w:rPr>
                <w:rFonts w:cs="Times New Roman"/>
              </w:rPr>
            </w:pPr>
            <w:r w:rsidRPr="00DD052A">
              <w:rPr>
                <w:rFonts w:cs="Times New Roman"/>
              </w:rPr>
              <w:t>8,3</w:t>
            </w:r>
          </w:p>
        </w:tc>
        <w:tc>
          <w:tcPr>
            <w:tcW w:w="675" w:type="dxa"/>
          </w:tcPr>
          <w:p w14:paraId="56EE575A" w14:textId="77777777" w:rsidR="00DD6728" w:rsidRPr="00DD052A" w:rsidRDefault="00DD6728" w:rsidP="00DD052A">
            <w:pPr>
              <w:rPr>
                <w:rFonts w:cs="Times New Roman"/>
              </w:rPr>
            </w:pPr>
            <w:r w:rsidRPr="00DD052A">
              <w:rPr>
                <w:rFonts w:cs="Times New Roman"/>
              </w:rPr>
              <w:t>-</w:t>
            </w:r>
          </w:p>
        </w:tc>
        <w:tc>
          <w:tcPr>
            <w:tcW w:w="674" w:type="dxa"/>
          </w:tcPr>
          <w:p w14:paraId="56EE575B" w14:textId="77777777" w:rsidR="00DD6728" w:rsidRPr="00DD052A" w:rsidRDefault="00DD6728" w:rsidP="00DD052A">
            <w:pPr>
              <w:rPr>
                <w:rFonts w:cs="Times New Roman"/>
              </w:rPr>
            </w:pPr>
            <w:r w:rsidRPr="00DD052A">
              <w:rPr>
                <w:rFonts w:cs="Times New Roman"/>
              </w:rPr>
              <w:t>-</w:t>
            </w:r>
          </w:p>
        </w:tc>
        <w:tc>
          <w:tcPr>
            <w:tcW w:w="847" w:type="dxa"/>
          </w:tcPr>
          <w:p w14:paraId="56EE575C" w14:textId="77777777" w:rsidR="00DD6728" w:rsidRPr="00DD052A" w:rsidRDefault="00DD6728" w:rsidP="00DD052A">
            <w:pPr>
              <w:rPr>
                <w:rFonts w:cs="Times New Roman"/>
                <w:i/>
              </w:rPr>
            </w:pPr>
            <w:r w:rsidRPr="00DD052A">
              <w:rPr>
                <w:rFonts w:cs="Times New Roman"/>
                <w:i/>
              </w:rPr>
              <w:t>2012</w:t>
            </w:r>
          </w:p>
          <w:p w14:paraId="56EE575D" w14:textId="77777777" w:rsidR="00DD6728" w:rsidRPr="00DD052A" w:rsidRDefault="00DD6728" w:rsidP="00DD052A">
            <w:pPr>
              <w:rPr>
                <w:rFonts w:cs="Times New Roman"/>
              </w:rPr>
            </w:pPr>
          </w:p>
          <w:p w14:paraId="56EE575E" w14:textId="77777777" w:rsidR="00DD6728" w:rsidRPr="00DD052A" w:rsidRDefault="00DD6728" w:rsidP="00DD052A">
            <w:pPr>
              <w:rPr>
                <w:rFonts w:cs="Times New Roman"/>
              </w:rPr>
            </w:pPr>
            <w:r w:rsidRPr="00DD052A">
              <w:rPr>
                <w:rFonts w:cs="Times New Roman"/>
              </w:rPr>
              <w:t>9,1</w:t>
            </w:r>
          </w:p>
          <w:p w14:paraId="56EE575F" w14:textId="77777777" w:rsidR="00DD6728" w:rsidRPr="00DD052A" w:rsidRDefault="00DD6728" w:rsidP="00DD052A">
            <w:pPr>
              <w:rPr>
                <w:rFonts w:cs="Times New Roman"/>
              </w:rPr>
            </w:pPr>
            <w:r w:rsidRPr="00DD052A">
              <w:rPr>
                <w:rFonts w:cs="Times New Roman"/>
              </w:rPr>
              <w:t>10,5</w:t>
            </w:r>
          </w:p>
          <w:p w14:paraId="56EE5760" w14:textId="77777777" w:rsidR="00DD6728" w:rsidRPr="00DD052A" w:rsidRDefault="00DD6728" w:rsidP="00DD052A">
            <w:pPr>
              <w:rPr>
                <w:rFonts w:cs="Times New Roman"/>
              </w:rPr>
            </w:pPr>
            <w:r w:rsidRPr="00DD052A">
              <w:rPr>
                <w:rFonts w:cs="Times New Roman"/>
              </w:rPr>
              <w:t>5,0</w:t>
            </w:r>
          </w:p>
        </w:tc>
        <w:tc>
          <w:tcPr>
            <w:tcW w:w="1134" w:type="dxa"/>
          </w:tcPr>
          <w:p w14:paraId="56EE5761" w14:textId="77777777" w:rsidR="00DD6728" w:rsidRPr="00DD052A" w:rsidRDefault="00DD6728" w:rsidP="00DD052A">
            <w:pPr>
              <w:rPr>
                <w:rFonts w:cs="Times New Roman"/>
                <w:i/>
              </w:rPr>
            </w:pPr>
            <w:r w:rsidRPr="00DD052A">
              <w:rPr>
                <w:rFonts w:cs="Times New Roman"/>
                <w:i/>
              </w:rPr>
              <w:t>2018</w:t>
            </w:r>
          </w:p>
          <w:p w14:paraId="56EE5762" w14:textId="77777777" w:rsidR="00DD6728" w:rsidRPr="00DD052A" w:rsidRDefault="00DD6728" w:rsidP="00DD052A">
            <w:pPr>
              <w:rPr>
                <w:rFonts w:cs="Times New Roman"/>
              </w:rPr>
            </w:pPr>
          </w:p>
          <w:p w14:paraId="56EE5763" w14:textId="77777777" w:rsidR="00DD6728" w:rsidRPr="00DD052A" w:rsidRDefault="00DD052A" w:rsidP="00DD052A">
            <w:pPr>
              <w:rPr>
                <w:rFonts w:cs="Times New Roman"/>
              </w:rPr>
            </w:pPr>
            <w:r>
              <w:rPr>
                <w:rFonts w:cs="Times New Roman"/>
              </w:rPr>
              <w:t>7,5</w:t>
            </w:r>
            <w:r w:rsidR="00DD6728" w:rsidRPr="00DD052A">
              <w:rPr>
                <w:rFonts w:cs="Times New Roman"/>
              </w:rPr>
              <w:t>%</w:t>
            </w:r>
          </w:p>
          <w:p w14:paraId="56EE5764" w14:textId="77777777" w:rsidR="00DD6728" w:rsidRPr="00DD052A" w:rsidRDefault="00DD6728" w:rsidP="00DD052A">
            <w:pPr>
              <w:rPr>
                <w:rFonts w:cs="Times New Roman"/>
              </w:rPr>
            </w:pPr>
            <w:r w:rsidRPr="00DD052A">
              <w:rPr>
                <w:rFonts w:cs="Times New Roman"/>
              </w:rPr>
              <w:t>8%</w:t>
            </w:r>
          </w:p>
          <w:p w14:paraId="56EE5765" w14:textId="77777777" w:rsidR="00DD6728" w:rsidRPr="00DD052A" w:rsidRDefault="00DD052A" w:rsidP="00DD052A">
            <w:pPr>
              <w:rPr>
                <w:rFonts w:cs="Times New Roman"/>
              </w:rPr>
            </w:pPr>
            <w:r>
              <w:rPr>
                <w:rFonts w:cs="Times New Roman"/>
              </w:rPr>
              <w:t>5</w:t>
            </w:r>
            <w:r w:rsidR="00DD6728" w:rsidRPr="00DD052A">
              <w:rPr>
                <w:rFonts w:cs="Times New Roman"/>
              </w:rPr>
              <w:t>%</w:t>
            </w:r>
          </w:p>
        </w:tc>
        <w:tc>
          <w:tcPr>
            <w:tcW w:w="958" w:type="dxa"/>
          </w:tcPr>
          <w:p w14:paraId="56EE5766" w14:textId="77777777" w:rsidR="00DD6728" w:rsidRPr="00DD052A" w:rsidRDefault="00DD6728" w:rsidP="00DD052A">
            <w:pPr>
              <w:rPr>
                <w:rFonts w:cs="Times New Roman"/>
              </w:rPr>
            </w:pPr>
          </w:p>
          <w:p w14:paraId="56EE5767" w14:textId="77777777" w:rsidR="00DD6728" w:rsidRPr="00DD052A" w:rsidRDefault="00DD6728" w:rsidP="00DD052A">
            <w:pPr>
              <w:rPr>
                <w:rFonts w:cs="Times New Roman"/>
              </w:rPr>
            </w:pPr>
          </w:p>
          <w:p w14:paraId="56EE5768" w14:textId="77777777" w:rsidR="00DD6728" w:rsidRPr="00DD052A" w:rsidRDefault="00DD6728" w:rsidP="00DD052A">
            <w:pPr>
              <w:rPr>
                <w:rFonts w:cs="Times New Roman"/>
              </w:rPr>
            </w:pPr>
            <w:r w:rsidRPr="00DD052A">
              <w:rPr>
                <w:rFonts w:cs="Times New Roman"/>
              </w:rPr>
              <w:t>&lt;15%</w:t>
            </w:r>
          </w:p>
        </w:tc>
      </w:tr>
      <w:tr w:rsidR="00DD6728" w:rsidRPr="009B124B" w14:paraId="56EE5772" w14:textId="77777777" w:rsidTr="00DD052A">
        <w:tc>
          <w:tcPr>
            <w:tcW w:w="3686" w:type="dxa"/>
          </w:tcPr>
          <w:p w14:paraId="56EE576A" w14:textId="77777777" w:rsidR="00DD6728" w:rsidRPr="00DD052A" w:rsidRDefault="00DD6728" w:rsidP="00DD052A">
            <w:pPr>
              <w:rPr>
                <w:rFonts w:cs="Times New Roman"/>
              </w:rPr>
            </w:pPr>
            <w:r w:rsidRPr="00DD052A">
              <w:rPr>
                <w:rFonts w:cs="Times New Roman"/>
              </w:rPr>
              <w:t>Põhikoolist väljalangevus kolmandas kooliastmes (%)</w:t>
            </w:r>
            <w:r w:rsidRPr="00DD052A">
              <w:rPr>
                <w:rFonts w:cs="Times New Roman"/>
                <w:vertAlign w:val="superscript"/>
              </w:rPr>
              <w:footnoteReference w:id="26"/>
            </w:r>
          </w:p>
        </w:tc>
        <w:tc>
          <w:tcPr>
            <w:tcW w:w="674" w:type="dxa"/>
          </w:tcPr>
          <w:p w14:paraId="56EE576B" w14:textId="77777777" w:rsidR="00DD6728" w:rsidRPr="00DD052A" w:rsidRDefault="00DD6728" w:rsidP="00DD052A">
            <w:pPr>
              <w:rPr>
                <w:rFonts w:cs="Times New Roman"/>
              </w:rPr>
            </w:pPr>
            <w:r w:rsidRPr="00DD052A">
              <w:rPr>
                <w:rFonts w:cs="Times New Roman"/>
              </w:rPr>
              <w:t>0,9</w:t>
            </w:r>
          </w:p>
        </w:tc>
        <w:tc>
          <w:tcPr>
            <w:tcW w:w="674" w:type="dxa"/>
          </w:tcPr>
          <w:p w14:paraId="56EE576C" w14:textId="77777777" w:rsidR="00DD6728" w:rsidRPr="00DD052A" w:rsidRDefault="00DD6728" w:rsidP="00DD052A">
            <w:pPr>
              <w:rPr>
                <w:rFonts w:cs="Times New Roman"/>
              </w:rPr>
            </w:pPr>
            <w:r w:rsidRPr="00DD052A">
              <w:rPr>
                <w:rFonts w:cs="Times New Roman"/>
              </w:rPr>
              <w:t>0,6</w:t>
            </w:r>
          </w:p>
        </w:tc>
        <w:tc>
          <w:tcPr>
            <w:tcW w:w="675" w:type="dxa"/>
          </w:tcPr>
          <w:p w14:paraId="56EE576D" w14:textId="77777777" w:rsidR="00DD6728" w:rsidRPr="00DD052A" w:rsidRDefault="00DD6728" w:rsidP="00DD052A">
            <w:pPr>
              <w:rPr>
                <w:rFonts w:cs="Times New Roman"/>
              </w:rPr>
            </w:pPr>
            <w:r w:rsidRPr="00DD052A">
              <w:rPr>
                <w:rFonts w:cs="Times New Roman"/>
              </w:rPr>
              <w:t>0,5</w:t>
            </w:r>
          </w:p>
        </w:tc>
        <w:tc>
          <w:tcPr>
            <w:tcW w:w="674" w:type="dxa"/>
          </w:tcPr>
          <w:p w14:paraId="56EE576E" w14:textId="77777777" w:rsidR="00DD6728" w:rsidRPr="00DD052A" w:rsidRDefault="00DD6728" w:rsidP="00DD052A">
            <w:pPr>
              <w:rPr>
                <w:rFonts w:cs="Times New Roman"/>
              </w:rPr>
            </w:pPr>
            <w:r w:rsidRPr="00DD052A">
              <w:rPr>
                <w:rFonts w:cs="Times New Roman"/>
              </w:rPr>
              <w:t>0,5</w:t>
            </w:r>
          </w:p>
        </w:tc>
        <w:tc>
          <w:tcPr>
            <w:tcW w:w="847" w:type="dxa"/>
          </w:tcPr>
          <w:p w14:paraId="56EE576F" w14:textId="77777777" w:rsidR="00DD6728" w:rsidRPr="00DD052A" w:rsidRDefault="00DD6728" w:rsidP="00DD052A">
            <w:pPr>
              <w:rPr>
                <w:rFonts w:cs="Times New Roman"/>
              </w:rPr>
            </w:pPr>
            <w:r w:rsidRPr="00DD052A">
              <w:rPr>
                <w:rFonts w:cs="Times New Roman"/>
              </w:rPr>
              <w:t>0,6</w:t>
            </w:r>
          </w:p>
        </w:tc>
        <w:tc>
          <w:tcPr>
            <w:tcW w:w="1134" w:type="dxa"/>
          </w:tcPr>
          <w:p w14:paraId="56EE5770" w14:textId="77777777" w:rsidR="00DD6728" w:rsidRPr="00DD052A" w:rsidRDefault="00DD6728" w:rsidP="00DD052A">
            <w:pPr>
              <w:rPr>
                <w:rFonts w:cs="Times New Roman"/>
              </w:rPr>
            </w:pPr>
            <w:r w:rsidRPr="00DD052A">
              <w:rPr>
                <w:rFonts w:cs="Times New Roman"/>
              </w:rPr>
              <w:t>&lt;1%</w:t>
            </w:r>
          </w:p>
        </w:tc>
        <w:tc>
          <w:tcPr>
            <w:tcW w:w="958" w:type="dxa"/>
          </w:tcPr>
          <w:p w14:paraId="56EE5771" w14:textId="77777777" w:rsidR="00DD6728" w:rsidRPr="00DD052A" w:rsidRDefault="00DD6728" w:rsidP="00DD052A">
            <w:pPr>
              <w:rPr>
                <w:rFonts w:cs="Times New Roman"/>
              </w:rPr>
            </w:pPr>
          </w:p>
        </w:tc>
      </w:tr>
      <w:tr w:rsidR="00DD6728" w:rsidRPr="009B124B" w14:paraId="56EE577B" w14:textId="77777777" w:rsidTr="00DD052A">
        <w:tc>
          <w:tcPr>
            <w:tcW w:w="3686" w:type="dxa"/>
          </w:tcPr>
          <w:p w14:paraId="56EE5773" w14:textId="77777777" w:rsidR="00DD6728" w:rsidRPr="00DD052A" w:rsidRDefault="00DD6728" w:rsidP="00DD052A">
            <w:pPr>
              <w:ind w:left="2124"/>
              <w:contextualSpacing/>
              <w:rPr>
                <w:rFonts w:cs="Times New Roman"/>
              </w:rPr>
            </w:pPr>
            <w:r w:rsidRPr="00DD052A">
              <w:rPr>
                <w:rFonts w:cs="Times New Roman"/>
              </w:rPr>
              <w:t>poisid</w:t>
            </w:r>
          </w:p>
        </w:tc>
        <w:tc>
          <w:tcPr>
            <w:tcW w:w="674" w:type="dxa"/>
          </w:tcPr>
          <w:p w14:paraId="56EE5774" w14:textId="77777777" w:rsidR="00DD6728" w:rsidRPr="00DD052A" w:rsidRDefault="00DD6728" w:rsidP="00DD052A">
            <w:pPr>
              <w:rPr>
                <w:rFonts w:cs="Times New Roman"/>
              </w:rPr>
            </w:pPr>
            <w:r w:rsidRPr="00DD052A">
              <w:rPr>
                <w:rFonts w:cs="Times New Roman"/>
              </w:rPr>
              <w:t>1,2</w:t>
            </w:r>
          </w:p>
        </w:tc>
        <w:tc>
          <w:tcPr>
            <w:tcW w:w="674" w:type="dxa"/>
          </w:tcPr>
          <w:p w14:paraId="56EE5775" w14:textId="77777777" w:rsidR="00DD6728" w:rsidRPr="00DD052A" w:rsidRDefault="00DD6728" w:rsidP="00DD052A">
            <w:pPr>
              <w:rPr>
                <w:rFonts w:cs="Times New Roman"/>
              </w:rPr>
            </w:pPr>
            <w:r w:rsidRPr="00DD052A">
              <w:rPr>
                <w:rFonts w:cs="Times New Roman"/>
              </w:rPr>
              <w:t>0,8</w:t>
            </w:r>
          </w:p>
        </w:tc>
        <w:tc>
          <w:tcPr>
            <w:tcW w:w="675" w:type="dxa"/>
          </w:tcPr>
          <w:p w14:paraId="56EE5776" w14:textId="77777777" w:rsidR="00DD6728" w:rsidRPr="00DD052A" w:rsidRDefault="00DD6728" w:rsidP="00DD052A">
            <w:pPr>
              <w:rPr>
                <w:rFonts w:cs="Times New Roman"/>
              </w:rPr>
            </w:pPr>
            <w:r w:rsidRPr="00DD052A">
              <w:rPr>
                <w:rFonts w:cs="Times New Roman"/>
              </w:rPr>
              <w:t>0,6</w:t>
            </w:r>
          </w:p>
        </w:tc>
        <w:tc>
          <w:tcPr>
            <w:tcW w:w="674" w:type="dxa"/>
          </w:tcPr>
          <w:p w14:paraId="56EE5777" w14:textId="77777777" w:rsidR="00DD6728" w:rsidRPr="00DD052A" w:rsidRDefault="00DD6728" w:rsidP="00DD052A">
            <w:pPr>
              <w:rPr>
                <w:rFonts w:cs="Times New Roman"/>
              </w:rPr>
            </w:pPr>
            <w:r w:rsidRPr="00DD052A">
              <w:rPr>
                <w:rFonts w:cs="Times New Roman"/>
              </w:rPr>
              <w:t>0,6</w:t>
            </w:r>
          </w:p>
        </w:tc>
        <w:tc>
          <w:tcPr>
            <w:tcW w:w="847" w:type="dxa"/>
          </w:tcPr>
          <w:p w14:paraId="56EE5778" w14:textId="77777777" w:rsidR="00DD6728" w:rsidRPr="00DD052A" w:rsidRDefault="00DD6728" w:rsidP="00DD052A">
            <w:pPr>
              <w:rPr>
                <w:rFonts w:cs="Times New Roman"/>
              </w:rPr>
            </w:pPr>
            <w:r w:rsidRPr="00DD052A">
              <w:rPr>
                <w:rFonts w:cs="Times New Roman"/>
              </w:rPr>
              <w:t>0,7</w:t>
            </w:r>
          </w:p>
        </w:tc>
        <w:tc>
          <w:tcPr>
            <w:tcW w:w="1134" w:type="dxa"/>
          </w:tcPr>
          <w:p w14:paraId="56EE5779" w14:textId="77777777" w:rsidR="00DD6728" w:rsidRPr="00DD052A" w:rsidRDefault="00DD6728" w:rsidP="00DD052A">
            <w:pPr>
              <w:rPr>
                <w:rFonts w:cs="Times New Roman"/>
              </w:rPr>
            </w:pPr>
            <w:r w:rsidRPr="00DD052A">
              <w:rPr>
                <w:rFonts w:cs="Times New Roman"/>
              </w:rPr>
              <w:t>-</w:t>
            </w:r>
          </w:p>
        </w:tc>
        <w:tc>
          <w:tcPr>
            <w:tcW w:w="958" w:type="dxa"/>
          </w:tcPr>
          <w:p w14:paraId="56EE577A" w14:textId="77777777" w:rsidR="00DD6728" w:rsidRPr="00DD052A" w:rsidRDefault="00DD6728" w:rsidP="00DD052A">
            <w:pPr>
              <w:rPr>
                <w:rFonts w:cs="Times New Roman"/>
              </w:rPr>
            </w:pPr>
            <w:r w:rsidRPr="00DD052A">
              <w:rPr>
                <w:rFonts w:cs="Times New Roman"/>
              </w:rPr>
              <w:t>-</w:t>
            </w:r>
          </w:p>
        </w:tc>
      </w:tr>
      <w:tr w:rsidR="00DD6728" w:rsidRPr="009B124B" w14:paraId="56EE5784" w14:textId="77777777" w:rsidTr="00DD052A">
        <w:tc>
          <w:tcPr>
            <w:tcW w:w="3686" w:type="dxa"/>
          </w:tcPr>
          <w:p w14:paraId="56EE577C" w14:textId="77777777" w:rsidR="00DD6728" w:rsidRPr="00DD052A" w:rsidRDefault="00DD6728" w:rsidP="00DD052A">
            <w:pPr>
              <w:ind w:left="2124"/>
              <w:contextualSpacing/>
              <w:rPr>
                <w:rFonts w:cs="Times New Roman"/>
              </w:rPr>
            </w:pPr>
            <w:r w:rsidRPr="00DD052A">
              <w:rPr>
                <w:rFonts w:cs="Times New Roman"/>
              </w:rPr>
              <w:t>tüdrukud</w:t>
            </w:r>
          </w:p>
        </w:tc>
        <w:tc>
          <w:tcPr>
            <w:tcW w:w="674" w:type="dxa"/>
          </w:tcPr>
          <w:p w14:paraId="56EE577D" w14:textId="77777777" w:rsidR="00DD6728" w:rsidRPr="00DD052A" w:rsidRDefault="00DD6728" w:rsidP="00DD052A">
            <w:pPr>
              <w:rPr>
                <w:rFonts w:cs="Times New Roman"/>
              </w:rPr>
            </w:pPr>
            <w:r w:rsidRPr="00DD052A">
              <w:rPr>
                <w:rFonts w:cs="Times New Roman"/>
              </w:rPr>
              <w:t>0,5</w:t>
            </w:r>
          </w:p>
        </w:tc>
        <w:tc>
          <w:tcPr>
            <w:tcW w:w="674" w:type="dxa"/>
          </w:tcPr>
          <w:p w14:paraId="56EE577E" w14:textId="77777777" w:rsidR="00DD6728" w:rsidRPr="00DD052A" w:rsidRDefault="00DD6728" w:rsidP="00DD052A">
            <w:pPr>
              <w:rPr>
                <w:rFonts w:cs="Times New Roman"/>
              </w:rPr>
            </w:pPr>
            <w:r w:rsidRPr="00DD052A">
              <w:rPr>
                <w:rFonts w:cs="Times New Roman"/>
              </w:rPr>
              <w:t>0,3</w:t>
            </w:r>
          </w:p>
        </w:tc>
        <w:tc>
          <w:tcPr>
            <w:tcW w:w="675" w:type="dxa"/>
          </w:tcPr>
          <w:p w14:paraId="56EE577F" w14:textId="77777777" w:rsidR="00DD6728" w:rsidRPr="00DD052A" w:rsidRDefault="00DD6728" w:rsidP="00DD052A">
            <w:pPr>
              <w:rPr>
                <w:rFonts w:cs="Times New Roman"/>
              </w:rPr>
            </w:pPr>
            <w:r w:rsidRPr="00DD052A">
              <w:rPr>
                <w:rFonts w:cs="Times New Roman"/>
              </w:rPr>
              <w:t>0,4</w:t>
            </w:r>
          </w:p>
        </w:tc>
        <w:tc>
          <w:tcPr>
            <w:tcW w:w="674" w:type="dxa"/>
          </w:tcPr>
          <w:p w14:paraId="56EE5780" w14:textId="77777777" w:rsidR="00DD6728" w:rsidRPr="00DD052A" w:rsidRDefault="00DD6728" w:rsidP="00DD052A">
            <w:pPr>
              <w:rPr>
                <w:rFonts w:cs="Times New Roman"/>
              </w:rPr>
            </w:pPr>
            <w:r w:rsidRPr="00DD052A">
              <w:rPr>
                <w:rFonts w:cs="Times New Roman"/>
              </w:rPr>
              <w:t>0,3</w:t>
            </w:r>
          </w:p>
        </w:tc>
        <w:tc>
          <w:tcPr>
            <w:tcW w:w="847" w:type="dxa"/>
          </w:tcPr>
          <w:p w14:paraId="56EE5781" w14:textId="77777777" w:rsidR="00DD6728" w:rsidRPr="00DD052A" w:rsidRDefault="00DD6728" w:rsidP="00DD052A">
            <w:pPr>
              <w:rPr>
                <w:rFonts w:cs="Times New Roman"/>
              </w:rPr>
            </w:pPr>
            <w:r w:rsidRPr="00DD052A">
              <w:rPr>
                <w:rFonts w:cs="Times New Roman"/>
              </w:rPr>
              <w:t>0,3</w:t>
            </w:r>
          </w:p>
        </w:tc>
        <w:tc>
          <w:tcPr>
            <w:tcW w:w="1134" w:type="dxa"/>
          </w:tcPr>
          <w:p w14:paraId="56EE5782" w14:textId="77777777" w:rsidR="00DD6728" w:rsidRPr="00DD052A" w:rsidRDefault="00DD6728" w:rsidP="00DD052A">
            <w:pPr>
              <w:rPr>
                <w:rFonts w:cs="Times New Roman"/>
              </w:rPr>
            </w:pPr>
            <w:r w:rsidRPr="00DD052A">
              <w:rPr>
                <w:rFonts w:cs="Times New Roman"/>
              </w:rPr>
              <w:t>-</w:t>
            </w:r>
          </w:p>
        </w:tc>
        <w:tc>
          <w:tcPr>
            <w:tcW w:w="958" w:type="dxa"/>
          </w:tcPr>
          <w:p w14:paraId="56EE5783" w14:textId="77777777" w:rsidR="00DD6728" w:rsidRPr="00DD052A" w:rsidRDefault="00DD6728" w:rsidP="00DD052A">
            <w:pPr>
              <w:rPr>
                <w:rFonts w:cs="Times New Roman"/>
              </w:rPr>
            </w:pPr>
            <w:r w:rsidRPr="00DD052A">
              <w:rPr>
                <w:rFonts w:cs="Times New Roman"/>
              </w:rPr>
              <w:t>-</w:t>
            </w:r>
          </w:p>
        </w:tc>
      </w:tr>
      <w:tr w:rsidR="00DD6728" w:rsidRPr="009B124B" w14:paraId="56EE579D" w14:textId="77777777" w:rsidTr="00DD052A">
        <w:tc>
          <w:tcPr>
            <w:tcW w:w="3686" w:type="dxa"/>
          </w:tcPr>
          <w:p w14:paraId="56EE5785" w14:textId="77777777" w:rsidR="00DD6728" w:rsidRPr="00DD052A" w:rsidRDefault="00DD6728" w:rsidP="00DD052A">
            <w:pPr>
              <w:rPr>
                <w:rFonts w:cs="Times New Roman"/>
              </w:rPr>
            </w:pPr>
            <w:r w:rsidRPr="00DD052A">
              <w:rPr>
                <w:rFonts w:cs="Times New Roman"/>
              </w:rPr>
              <w:t>Õppetöö katkestajate määr (%)</w:t>
            </w:r>
            <w:r w:rsidRPr="00DD052A">
              <w:rPr>
                <w:rFonts w:cs="Times New Roman"/>
                <w:vertAlign w:val="superscript"/>
              </w:rPr>
              <w:footnoteReference w:id="27"/>
            </w:r>
          </w:p>
          <w:p w14:paraId="56EE5786" w14:textId="77777777" w:rsidR="00DD6728" w:rsidRPr="00DD052A" w:rsidRDefault="00DD6728" w:rsidP="00DD052A">
            <w:pPr>
              <w:rPr>
                <w:rFonts w:cs="Times New Roman"/>
              </w:rPr>
            </w:pPr>
            <w:r w:rsidRPr="00DD052A">
              <w:rPr>
                <w:rFonts w:cs="Times New Roman"/>
              </w:rPr>
              <w:t>kutseõppeasutustes</w:t>
            </w:r>
            <w:r w:rsidRPr="00DD052A">
              <w:rPr>
                <w:rStyle w:val="FootnoteReference"/>
                <w:rFonts w:cs="Times New Roman"/>
              </w:rPr>
              <w:footnoteReference w:id="28"/>
            </w:r>
          </w:p>
          <w:p w14:paraId="56EE5787" w14:textId="77777777" w:rsidR="00DD6728" w:rsidRPr="00DD052A" w:rsidRDefault="00DD6728" w:rsidP="00DD052A">
            <w:pPr>
              <w:rPr>
                <w:rFonts w:cs="Times New Roman"/>
              </w:rPr>
            </w:pPr>
            <w:r w:rsidRPr="00DD052A">
              <w:rPr>
                <w:rFonts w:cs="Times New Roman"/>
              </w:rPr>
              <w:t>gümnaasiumides</w:t>
            </w:r>
            <w:r w:rsidRPr="00DD052A">
              <w:rPr>
                <w:rStyle w:val="FootnoteReference"/>
                <w:rFonts w:cs="Times New Roman"/>
              </w:rPr>
              <w:footnoteReference w:id="29"/>
            </w:r>
          </w:p>
          <w:p w14:paraId="56EE5788" w14:textId="77777777" w:rsidR="00DD6728" w:rsidRPr="00DD052A" w:rsidRDefault="00DD6728" w:rsidP="00DD052A">
            <w:pPr>
              <w:rPr>
                <w:rFonts w:cs="Times New Roman"/>
              </w:rPr>
            </w:pPr>
            <w:r w:rsidRPr="00DD052A">
              <w:rPr>
                <w:rFonts w:cs="Times New Roman"/>
              </w:rPr>
              <w:t>kõrghariduses</w:t>
            </w:r>
            <w:r w:rsidRPr="00DD052A">
              <w:rPr>
                <w:rStyle w:val="FootnoteReference"/>
                <w:rFonts w:cs="Times New Roman"/>
              </w:rPr>
              <w:footnoteReference w:id="30"/>
            </w:r>
          </w:p>
        </w:tc>
        <w:tc>
          <w:tcPr>
            <w:tcW w:w="674" w:type="dxa"/>
          </w:tcPr>
          <w:p w14:paraId="56EE5789" w14:textId="77777777" w:rsidR="00DD6728" w:rsidRPr="00DD052A" w:rsidRDefault="00DD6728" w:rsidP="00DD052A">
            <w:pPr>
              <w:rPr>
                <w:rFonts w:cs="Times New Roman"/>
              </w:rPr>
            </w:pPr>
          </w:p>
          <w:p w14:paraId="56EE578A" w14:textId="77777777" w:rsidR="00DD6728" w:rsidRPr="00DD052A" w:rsidRDefault="00DD6728" w:rsidP="00DD052A">
            <w:pPr>
              <w:rPr>
                <w:rFonts w:cs="Times New Roman"/>
              </w:rPr>
            </w:pPr>
            <w:r w:rsidRPr="00DD052A">
              <w:rPr>
                <w:rFonts w:cs="Times New Roman"/>
              </w:rPr>
              <w:t>21,3</w:t>
            </w:r>
          </w:p>
          <w:p w14:paraId="56EE578B" w14:textId="77777777" w:rsidR="00DD6728" w:rsidRPr="00DD052A" w:rsidRDefault="00DD6728" w:rsidP="00DD052A">
            <w:pPr>
              <w:rPr>
                <w:rFonts w:cs="Times New Roman"/>
              </w:rPr>
            </w:pPr>
            <w:r w:rsidRPr="00DD052A">
              <w:rPr>
                <w:rFonts w:cs="Times New Roman"/>
              </w:rPr>
              <w:t>0,9</w:t>
            </w:r>
          </w:p>
          <w:p w14:paraId="56EE578C" w14:textId="77777777" w:rsidR="00DD6728" w:rsidRPr="00DD052A" w:rsidRDefault="00DD6728" w:rsidP="00DD052A">
            <w:pPr>
              <w:rPr>
                <w:rFonts w:cs="Times New Roman"/>
              </w:rPr>
            </w:pPr>
          </w:p>
        </w:tc>
        <w:tc>
          <w:tcPr>
            <w:tcW w:w="674" w:type="dxa"/>
          </w:tcPr>
          <w:p w14:paraId="56EE578D" w14:textId="77777777" w:rsidR="00DD6728" w:rsidRPr="00DD052A" w:rsidRDefault="00DD6728" w:rsidP="00DD052A">
            <w:pPr>
              <w:rPr>
                <w:rFonts w:cs="Times New Roman"/>
              </w:rPr>
            </w:pPr>
          </w:p>
          <w:p w14:paraId="56EE578E" w14:textId="77777777" w:rsidR="00DD6728" w:rsidRPr="00DD052A" w:rsidRDefault="00DD6728" w:rsidP="00DD052A">
            <w:pPr>
              <w:rPr>
                <w:rFonts w:cs="Times New Roman"/>
              </w:rPr>
            </w:pPr>
            <w:r w:rsidRPr="00DD052A">
              <w:rPr>
                <w:rFonts w:cs="Times New Roman"/>
              </w:rPr>
              <w:t>23,6 1,0</w:t>
            </w:r>
          </w:p>
        </w:tc>
        <w:tc>
          <w:tcPr>
            <w:tcW w:w="675" w:type="dxa"/>
          </w:tcPr>
          <w:p w14:paraId="56EE578F" w14:textId="77777777" w:rsidR="00DD6728" w:rsidRPr="00DD052A" w:rsidRDefault="00DD6728" w:rsidP="00DD052A">
            <w:pPr>
              <w:rPr>
                <w:rFonts w:cs="Times New Roman"/>
              </w:rPr>
            </w:pPr>
          </w:p>
          <w:p w14:paraId="56EE5790" w14:textId="77777777" w:rsidR="00DD6728" w:rsidRPr="00DD052A" w:rsidRDefault="00DD6728" w:rsidP="00DD052A">
            <w:pPr>
              <w:rPr>
                <w:rFonts w:cs="Times New Roman"/>
              </w:rPr>
            </w:pPr>
            <w:r w:rsidRPr="00DD052A">
              <w:rPr>
                <w:rFonts w:cs="Times New Roman"/>
              </w:rPr>
              <w:t>28,51,1</w:t>
            </w:r>
          </w:p>
        </w:tc>
        <w:tc>
          <w:tcPr>
            <w:tcW w:w="674" w:type="dxa"/>
          </w:tcPr>
          <w:p w14:paraId="56EE5791" w14:textId="77777777" w:rsidR="00DD6728" w:rsidRPr="00DD052A" w:rsidRDefault="00DD6728" w:rsidP="00DD052A">
            <w:pPr>
              <w:rPr>
                <w:rFonts w:cs="Times New Roman"/>
              </w:rPr>
            </w:pPr>
          </w:p>
          <w:p w14:paraId="56EE5792" w14:textId="77777777" w:rsidR="00DD6728" w:rsidRPr="00DD052A" w:rsidRDefault="00DD6728" w:rsidP="00DD052A">
            <w:pPr>
              <w:rPr>
                <w:rFonts w:cs="Times New Roman"/>
              </w:rPr>
            </w:pPr>
            <w:r w:rsidRPr="00DD052A">
              <w:rPr>
                <w:rFonts w:cs="Times New Roman"/>
              </w:rPr>
              <w:t>26,2</w:t>
            </w:r>
          </w:p>
          <w:p w14:paraId="56EE5793" w14:textId="77777777" w:rsidR="00DD6728" w:rsidRPr="00DD052A" w:rsidRDefault="00DD6728" w:rsidP="00DD052A">
            <w:pPr>
              <w:rPr>
                <w:rFonts w:cs="Times New Roman"/>
              </w:rPr>
            </w:pPr>
            <w:r w:rsidRPr="00DD052A">
              <w:rPr>
                <w:rFonts w:cs="Times New Roman"/>
              </w:rPr>
              <w:t>1,4</w:t>
            </w:r>
          </w:p>
          <w:p w14:paraId="56EE5794" w14:textId="77777777" w:rsidR="00DD6728" w:rsidRPr="00DD052A" w:rsidRDefault="00DD6728" w:rsidP="00DD052A">
            <w:pPr>
              <w:rPr>
                <w:rFonts w:cs="Times New Roman"/>
              </w:rPr>
            </w:pPr>
            <w:r w:rsidRPr="00DD052A">
              <w:rPr>
                <w:rFonts w:cs="Times New Roman"/>
              </w:rPr>
              <w:t>21,3</w:t>
            </w:r>
          </w:p>
        </w:tc>
        <w:tc>
          <w:tcPr>
            <w:tcW w:w="847" w:type="dxa"/>
          </w:tcPr>
          <w:p w14:paraId="56EE5795" w14:textId="77777777" w:rsidR="00DD6728" w:rsidRPr="00DD052A" w:rsidRDefault="00DD6728" w:rsidP="00DD052A">
            <w:pPr>
              <w:rPr>
                <w:rFonts w:cs="Times New Roman"/>
              </w:rPr>
            </w:pPr>
          </w:p>
          <w:p w14:paraId="56EE5796" w14:textId="77777777" w:rsidR="00DD6728" w:rsidRPr="00DD052A" w:rsidRDefault="00DD6728" w:rsidP="00DD052A">
            <w:pPr>
              <w:rPr>
                <w:rFonts w:cs="Times New Roman"/>
              </w:rPr>
            </w:pPr>
            <w:r w:rsidRPr="00DD052A">
              <w:rPr>
                <w:rFonts w:cs="Times New Roman"/>
              </w:rPr>
              <w:t>25,8</w:t>
            </w:r>
          </w:p>
          <w:p w14:paraId="56EE5797" w14:textId="77777777" w:rsidR="00DD6728" w:rsidRPr="00DD052A" w:rsidRDefault="00DD6728" w:rsidP="00DD052A">
            <w:pPr>
              <w:rPr>
                <w:rFonts w:cs="Times New Roman"/>
              </w:rPr>
            </w:pPr>
            <w:r w:rsidRPr="00DD052A">
              <w:rPr>
                <w:rFonts w:cs="Times New Roman"/>
              </w:rPr>
              <w:t>1,1</w:t>
            </w:r>
          </w:p>
        </w:tc>
        <w:tc>
          <w:tcPr>
            <w:tcW w:w="1134" w:type="dxa"/>
          </w:tcPr>
          <w:p w14:paraId="56EE5798" w14:textId="77777777" w:rsidR="00DD6728" w:rsidRPr="00DD052A" w:rsidRDefault="00DD6728" w:rsidP="00DD052A">
            <w:pPr>
              <w:rPr>
                <w:rFonts w:cs="Times New Roman"/>
              </w:rPr>
            </w:pPr>
          </w:p>
          <w:p w14:paraId="56EE5799" w14:textId="77777777" w:rsidR="00DD6728" w:rsidRPr="00DD052A" w:rsidRDefault="00DD6728" w:rsidP="00DD052A">
            <w:pPr>
              <w:rPr>
                <w:rFonts w:cs="Times New Roman"/>
              </w:rPr>
            </w:pPr>
            <w:r w:rsidRPr="00DD052A">
              <w:rPr>
                <w:rFonts w:cs="Times New Roman"/>
              </w:rPr>
              <w:t>&lt;20%</w:t>
            </w:r>
          </w:p>
          <w:p w14:paraId="56EE579A" w14:textId="77777777" w:rsidR="00DD6728" w:rsidRPr="00DD052A" w:rsidRDefault="00DD6728" w:rsidP="00DD052A">
            <w:pPr>
              <w:rPr>
                <w:rFonts w:cs="Times New Roman"/>
              </w:rPr>
            </w:pPr>
            <w:r w:rsidRPr="00DD052A">
              <w:rPr>
                <w:rFonts w:cs="Times New Roman"/>
              </w:rPr>
              <w:t>&lt;0,8%</w:t>
            </w:r>
          </w:p>
          <w:p w14:paraId="56EE579B" w14:textId="77777777" w:rsidR="00DD6728" w:rsidRPr="00DD052A" w:rsidRDefault="00DD6728" w:rsidP="00DD052A">
            <w:pPr>
              <w:rPr>
                <w:rFonts w:cs="Times New Roman"/>
              </w:rPr>
            </w:pPr>
            <w:r w:rsidRPr="00DD052A">
              <w:rPr>
                <w:rFonts w:cs="Times New Roman"/>
              </w:rPr>
              <w:t>&lt;15%</w:t>
            </w:r>
          </w:p>
        </w:tc>
        <w:tc>
          <w:tcPr>
            <w:tcW w:w="958" w:type="dxa"/>
          </w:tcPr>
          <w:p w14:paraId="56EE579C" w14:textId="77777777" w:rsidR="00DD6728" w:rsidRPr="00DD052A" w:rsidRDefault="00DD6728" w:rsidP="00DD052A">
            <w:pPr>
              <w:rPr>
                <w:rFonts w:cs="Times New Roman"/>
              </w:rPr>
            </w:pPr>
            <w:r w:rsidRPr="00DD052A">
              <w:rPr>
                <w:rFonts w:cs="Times New Roman"/>
              </w:rPr>
              <w:t>-</w:t>
            </w:r>
          </w:p>
        </w:tc>
      </w:tr>
      <w:tr w:rsidR="00DD6728" w:rsidRPr="009B124B" w14:paraId="56EE57A6" w14:textId="77777777" w:rsidTr="00DD052A">
        <w:tc>
          <w:tcPr>
            <w:tcW w:w="3686" w:type="dxa"/>
          </w:tcPr>
          <w:p w14:paraId="56EE579E" w14:textId="77777777" w:rsidR="00DD6728" w:rsidRPr="00DD052A" w:rsidRDefault="00DD6728" w:rsidP="00DD052A">
            <w:pPr>
              <w:rPr>
                <w:rFonts w:cs="Times New Roman"/>
                <w:b/>
              </w:rPr>
            </w:pPr>
            <w:r w:rsidRPr="00DD052A">
              <w:rPr>
                <w:rFonts w:cs="Times New Roman"/>
                <w:b/>
              </w:rPr>
              <w:t>II Pädevad ja motiveeritud õpetajad ning koolijuhid</w:t>
            </w:r>
          </w:p>
        </w:tc>
        <w:tc>
          <w:tcPr>
            <w:tcW w:w="674" w:type="dxa"/>
          </w:tcPr>
          <w:p w14:paraId="56EE579F" w14:textId="77777777" w:rsidR="00DD6728" w:rsidRPr="00DD052A" w:rsidRDefault="00DD6728" w:rsidP="00DD052A">
            <w:pPr>
              <w:rPr>
                <w:rFonts w:cs="Times New Roman"/>
                <w:b/>
              </w:rPr>
            </w:pPr>
          </w:p>
        </w:tc>
        <w:tc>
          <w:tcPr>
            <w:tcW w:w="674" w:type="dxa"/>
          </w:tcPr>
          <w:p w14:paraId="56EE57A0" w14:textId="77777777" w:rsidR="00DD6728" w:rsidRPr="00DD052A" w:rsidRDefault="00DD6728" w:rsidP="00DD052A">
            <w:pPr>
              <w:rPr>
                <w:rFonts w:cs="Times New Roman"/>
                <w:b/>
              </w:rPr>
            </w:pPr>
          </w:p>
        </w:tc>
        <w:tc>
          <w:tcPr>
            <w:tcW w:w="675" w:type="dxa"/>
          </w:tcPr>
          <w:p w14:paraId="56EE57A1" w14:textId="77777777" w:rsidR="00DD6728" w:rsidRPr="00DD052A" w:rsidRDefault="00DD6728" w:rsidP="00DD052A">
            <w:pPr>
              <w:rPr>
                <w:rFonts w:cs="Times New Roman"/>
                <w:b/>
              </w:rPr>
            </w:pPr>
          </w:p>
        </w:tc>
        <w:tc>
          <w:tcPr>
            <w:tcW w:w="674" w:type="dxa"/>
          </w:tcPr>
          <w:p w14:paraId="56EE57A2" w14:textId="77777777" w:rsidR="00DD6728" w:rsidRPr="00DD052A" w:rsidRDefault="00DD6728" w:rsidP="00DD052A">
            <w:pPr>
              <w:rPr>
                <w:rFonts w:cs="Times New Roman"/>
                <w:b/>
              </w:rPr>
            </w:pPr>
          </w:p>
        </w:tc>
        <w:tc>
          <w:tcPr>
            <w:tcW w:w="847" w:type="dxa"/>
          </w:tcPr>
          <w:p w14:paraId="56EE57A3" w14:textId="77777777" w:rsidR="00DD6728" w:rsidRPr="00DD052A" w:rsidRDefault="00DD6728" w:rsidP="00DD052A">
            <w:pPr>
              <w:rPr>
                <w:rFonts w:cs="Times New Roman"/>
                <w:b/>
              </w:rPr>
            </w:pPr>
          </w:p>
        </w:tc>
        <w:tc>
          <w:tcPr>
            <w:tcW w:w="1134" w:type="dxa"/>
          </w:tcPr>
          <w:p w14:paraId="56EE57A4" w14:textId="77777777" w:rsidR="00DD6728" w:rsidRPr="00DD052A" w:rsidRDefault="00DD6728" w:rsidP="00DD052A">
            <w:pPr>
              <w:rPr>
                <w:rFonts w:cs="Times New Roman"/>
                <w:b/>
              </w:rPr>
            </w:pPr>
          </w:p>
        </w:tc>
        <w:tc>
          <w:tcPr>
            <w:tcW w:w="958" w:type="dxa"/>
          </w:tcPr>
          <w:p w14:paraId="56EE57A5" w14:textId="77777777" w:rsidR="00DD6728" w:rsidRPr="00DD052A" w:rsidRDefault="00DD6728" w:rsidP="00DD052A">
            <w:pPr>
              <w:rPr>
                <w:rFonts w:cs="Times New Roman"/>
                <w:b/>
              </w:rPr>
            </w:pPr>
          </w:p>
        </w:tc>
      </w:tr>
      <w:tr w:rsidR="00DD6728" w:rsidRPr="009B124B" w14:paraId="56EE57AF" w14:textId="77777777" w:rsidTr="00DD052A">
        <w:tc>
          <w:tcPr>
            <w:tcW w:w="3686" w:type="dxa"/>
          </w:tcPr>
          <w:p w14:paraId="56EE57A7" w14:textId="77777777" w:rsidR="00DD6728" w:rsidRPr="00DD052A" w:rsidRDefault="00DD6728" w:rsidP="00DD052A">
            <w:pPr>
              <w:rPr>
                <w:rFonts w:cs="Times New Roman"/>
              </w:rPr>
            </w:pPr>
            <w:r w:rsidRPr="00DD052A">
              <w:rPr>
                <w:rFonts w:cs="Times New Roman"/>
              </w:rPr>
              <w:t>30-aastaste ja nooremate õpetajate osakaal (%)</w:t>
            </w:r>
            <w:r w:rsidRPr="00DD052A">
              <w:rPr>
                <w:rFonts w:cs="Times New Roman"/>
                <w:vertAlign w:val="superscript"/>
              </w:rPr>
              <w:footnoteReference w:id="31"/>
            </w:r>
          </w:p>
        </w:tc>
        <w:tc>
          <w:tcPr>
            <w:tcW w:w="674" w:type="dxa"/>
          </w:tcPr>
          <w:p w14:paraId="56EE57A8" w14:textId="77777777" w:rsidR="00DD6728" w:rsidRPr="00DD052A" w:rsidRDefault="00DD6728" w:rsidP="00DD052A">
            <w:pPr>
              <w:rPr>
                <w:rFonts w:cs="Times New Roman"/>
              </w:rPr>
            </w:pPr>
            <w:r w:rsidRPr="00DD052A">
              <w:rPr>
                <w:rFonts w:cs="Times New Roman"/>
              </w:rPr>
              <w:t>11,4</w:t>
            </w:r>
          </w:p>
        </w:tc>
        <w:tc>
          <w:tcPr>
            <w:tcW w:w="674" w:type="dxa"/>
          </w:tcPr>
          <w:p w14:paraId="56EE57A9" w14:textId="77777777" w:rsidR="00DD6728" w:rsidRPr="00DD052A" w:rsidRDefault="00DD6728" w:rsidP="00DD052A">
            <w:pPr>
              <w:rPr>
                <w:rFonts w:cs="Times New Roman"/>
              </w:rPr>
            </w:pPr>
            <w:r w:rsidRPr="00DD052A">
              <w:rPr>
                <w:rFonts w:cs="Times New Roman"/>
              </w:rPr>
              <w:t>11,2</w:t>
            </w:r>
          </w:p>
        </w:tc>
        <w:tc>
          <w:tcPr>
            <w:tcW w:w="675" w:type="dxa"/>
          </w:tcPr>
          <w:p w14:paraId="56EE57AA" w14:textId="77777777" w:rsidR="00DD6728" w:rsidRPr="00DD052A" w:rsidRDefault="00DD6728" w:rsidP="00DD052A">
            <w:pPr>
              <w:rPr>
                <w:rFonts w:cs="Times New Roman"/>
              </w:rPr>
            </w:pPr>
            <w:r w:rsidRPr="00DD052A">
              <w:rPr>
                <w:rFonts w:cs="Times New Roman"/>
              </w:rPr>
              <w:t>10,5</w:t>
            </w:r>
          </w:p>
        </w:tc>
        <w:tc>
          <w:tcPr>
            <w:tcW w:w="674" w:type="dxa"/>
          </w:tcPr>
          <w:p w14:paraId="56EE57AB" w14:textId="77777777" w:rsidR="00DD6728" w:rsidRPr="00DD052A" w:rsidRDefault="00DD6728" w:rsidP="00DD052A">
            <w:pPr>
              <w:rPr>
                <w:rFonts w:cs="Times New Roman"/>
              </w:rPr>
            </w:pPr>
            <w:r w:rsidRPr="00DD052A">
              <w:rPr>
                <w:rFonts w:cs="Times New Roman"/>
              </w:rPr>
              <w:t>10,3</w:t>
            </w:r>
          </w:p>
        </w:tc>
        <w:tc>
          <w:tcPr>
            <w:tcW w:w="847" w:type="dxa"/>
          </w:tcPr>
          <w:p w14:paraId="56EE57AC" w14:textId="77777777" w:rsidR="00DD6728" w:rsidRPr="00DD052A" w:rsidRDefault="00DD6728" w:rsidP="00DD052A">
            <w:pPr>
              <w:rPr>
                <w:rFonts w:cs="Times New Roman"/>
              </w:rPr>
            </w:pPr>
            <w:r w:rsidRPr="00DD052A">
              <w:rPr>
                <w:rFonts w:cs="Times New Roman"/>
              </w:rPr>
              <w:t>10,3</w:t>
            </w:r>
          </w:p>
        </w:tc>
        <w:tc>
          <w:tcPr>
            <w:tcW w:w="1134" w:type="dxa"/>
          </w:tcPr>
          <w:p w14:paraId="56EE57AD" w14:textId="77777777" w:rsidR="00DD6728" w:rsidRPr="00DD052A" w:rsidRDefault="00DD6728" w:rsidP="00DD052A">
            <w:pPr>
              <w:rPr>
                <w:rFonts w:cs="Times New Roman"/>
              </w:rPr>
            </w:pPr>
            <w:r w:rsidRPr="00DD052A">
              <w:rPr>
                <w:rFonts w:cs="Times New Roman"/>
              </w:rPr>
              <w:t>&gt;12,5%</w:t>
            </w:r>
          </w:p>
        </w:tc>
        <w:tc>
          <w:tcPr>
            <w:tcW w:w="958" w:type="dxa"/>
          </w:tcPr>
          <w:p w14:paraId="56EE57AE" w14:textId="77777777" w:rsidR="00DD6728" w:rsidRPr="00DD052A" w:rsidRDefault="00DD6728" w:rsidP="00DD052A">
            <w:pPr>
              <w:rPr>
                <w:rFonts w:cs="Times New Roman"/>
              </w:rPr>
            </w:pPr>
          </w:p>
        </w:tc>
      </w:tr>
      <w:tr w:rsidR="00DD6728" w:rsidRPr="009B124B" w14:paraId="56EE57B8" w14:textId="77777777" w:rsidTr="00DD052A">
        <w:tc>
          <w:tcPr>
            <w:tcW w:w="3686" w:type="dxa"/>
          </w:tcPr>
          <w:p w14:paraId="56EE57B0" w14:textId="77777777" w:rsidR="00DD6728" w:rsidRPr="00DD052A" w:rsidRDefault="00DD6728" w:rsidP="00DD052A">
            <w:pPr>
              <w:rPr>
                <w:rFonts w:cs="Times New Roman"/>
              </w:rPr>
            </w:pPr>
            <w:r w:rsidRPr="00DD052A">
              <w:rPr>
                <w:rFonts w:cs="Times New Roman"/>
              </w:rPr>
              <w:t>Konkurss õpetajakoolituse õppekohtadele</w:t>
            </w:r>
            <w:r w:rsidRPr="00DD052A">
              <w:rPr>
                <w:rStyle w:val="FootnoteReference"/>
                <w:rFonts w:cs="Times New Roman"/>
              </w:rPr>
              <w:footnoteReference w:id="32"/>
            </w:r>
          </w:p>
        </w:tc>
        <w:tc>
          <w:tcPr>
            <w:tcW w:w="674" w:type="dxa"/>
          </w:tcPr>
          <w:p w14:paraId="56EE57B1" w14:textId="77777777" w:rsidR="00DD6728" w:rsidRPr="00DD052A" w:rsidRDefault="00DD6728" w:rsidP="00DD052A">
            <w:pPr>
              <w:rPr>
                <w:rFonts w:cs="Times New Roman"/>
              </w:rPr>
            </w:pPr>
          </w:p>
        </w:tc>
        <w:tc>
          <w:tcPr>
            <w:tcW w:w="674" w:type="dxa"/>
          </w:tcPr>
          <w:p w14:paraId="56EE57B2" w14:textId="77777777" w:rsidR="00DD6728" w:rsidRPr="00DD052A" w:rsidRDefault="00DD6728" w:rsidP="00DD052A">
            <w:pPr>
              <w:rPr>
                <w:rFonts w:cs="Times New Roman"/>
              </w:rPr>
            </w:pPr>
          </w:p>
        </w:tc>
        <w:tc>
          <w:tcPr>
            <w:tcW w:w="675" w:type="dxa"/>
          </w:tcPr>
          <w:p w14:paraId="56EE57B3" w14:textId="77777777" w:rsidR="00DD6728" w:rsidRPr="00DD052A" w:rsidRDefault="00DD6728" w:rsidP="00DD052A">
            <w:pPr>
              <w:rPr>
                <w:rFonts w:cs="Times New Roman"/>
              </w:rPr>
            </w:pPr>
          </w:p>
        </w:tc>
        <w:tc>
          <w:tcPr>
            <w:tcW w:w="674" w:type="dxa"/>
          </w:tcPr>
          <w:p w14:paraId="56EE57B4" w14:textId="77777777" w:rsidR="00DD6728" w:rsidRPr="00DD052A" w:rsidRDefault="00DD6728" w:rsidP="00DD052A">
            <w:pPr>
              <w:rPr>
                <w:rFonts w:cs="Times New Roman"/>
              </w:rPr>
            </w:pPr>
          </w:p>
        </w:tc>
        <w:tc>
          <w:tcPr>
            <w:tcW w:w="847" w:type="dxa"/>
          </w:tcPr>
          <w:p w14:paraId="56EE57B5" w14:textId="77777777" w:rsidR="00DD6728" w:rsidRPr="00DD052A" w:rsidRDefault="00DD6728" w:rsidP="00DD052A">
            <w:pPr>
              <w:rPr>
                <w:rFonts w:cs="Times New Roman"/>
              </w:rPr>
            </w:pPr>
          </w:p>
        </w:tc>
        <w:tc>
          <w:tcPr>
            <w:tcW w:w="1134" w:type="dxa"/>
          </w:tcPr>
          <w:p w14:paraId="56EE57B6" w14:textId="77777777" w:rsidR="00DD6728" w:rsidRPr="00DD052A" w:rsidRDefault="00DD6728" w:rsidP="00DD052A">
            <w:pPr>
              <w:rPr>
                <w:rFonts w:cs="Times New Roman"/>
              </w:rPr>
            </w:pPr>
            <w:r w:rsidRPr="00DD052A">
              <w:rPr>
                <w:rFonts w:cs="Times New Roman"/>
              </w:rPr>
              <w:t>Konkurss on kasvanud</w:t>
            </w:r>
          </w:p>
        </w:tc>
        <w:tc>
          <w:tcPr>
            <w:tcW w:w="958" w:type="dxa"/>
          </w:tcPr>
          <w:p w14:paraId="56EE57B7" w14:textId="77777777" w:rsidR="00DD6728" w:rsidRPr="00DD052A" w:rsidRDefault="00DD6728" w:rsidP="00DD052A">
            <w:pPr>
              <w:rPr>
                <w:rFonts w:cs="Times New Roman"/>
              </w:rPr>
            </w:pPr>
          </w:p>
        </w:tc>
      </w:tr>
      <w:tr w:rsidR="00DD6728" w:rsidRPr="009B124B" w14:paraId="56EE57C1" w14:textId="77777777" w:rsidTr="00DD052A">
        <w:tc>
          <w:tcPr>
            <w:tcW w:w="3686" w:type="dxa"/>
          </w:tcPr>
          <w:p w14:paraId="56EE57B9" w14:textId="77777777" w:rsidR="00DD6728" w:rsidRPr="00DD052A" w:rsidRDefault="00DD6728" w:rsidP="00DD052A">
            <w:pPr>
              <w:rPr>
                <w:rFonts w:cs="Times New Roman"/>
              </w:rPr>
            </w:pPr>
            <w:r w:rsidRPr="00DD052A">
              <w:rPr>
                <w:rFonts w:cs="Times New Roman"/>
              </w:rPr>
              <w:t>Õpetajate sooline struktuur üldhariduses (naised: mehed (%)</w:t>
            </w:r>
            <w:r w:rsidRPr="00DD052A">
              <w:rPr>
                <w:rFonts w:cs="Times New Roman"/>
                <w:vertAlign w:val="superscript"/>
              </w:rPr>
              <w:footnoteReference w:id="33"/>
            </w:r>
          </w:p>
        </w:tc>
        <w:tc>
          <w:tcPr>
            <w:tcW w:w="674" w:type="dxa"/>
          </w:tcPr>
          <w:p w14:paraId="56EE57BA" w14:textId="77777777" w:rsidR="00DD6728" w:rsidRPr="00DD052A" w:rsidRDefault="00DD6728" w:rsidP="00DD052A">
            <w:pPr>
              <w:rPr>
                <w:rFonts w:cs="Times New Roman"/>
              </w:rPr>
            </w:pPr>
          </w:p>
        </w:tc>
        <w:tc>
          <w:tcPr>
            <w:tcW w:w="674" w:type="dxa"/>
          </w:tcPr>
          <w:p w14:paraId="56EE57BB" w14:textId="77777777" w:rsidR="00DD6728" w:rsidRPr="00DD052A" w:rsidRDefault="00DD6728" w:rsidP="00DD052A">
            <w:pPr>
              <w:rPr>
                <w:rFonts w:cs="Times New Roman"/>
              </w:rPr>
            </w:pPr>
          </w:p>
        </w:tc>
        <w:tc>
          <w:tcPr>
            <w:tcW w:w="675" w:type="dxa"/>
          </w:tcPr>
          <w:p w14:paraId="56EE57BC" w14:textId="77777777" w:rsidR="00DD6728" w:rsidRPr="00DD052A" w:rsidRDefault="00DD6728" w:rsidP="00DD052A">
            <w:pPr>
              <w:rPr>
                <w:rFonts w:cs="Times New Roman"/>
              </w:rPr>
            </w:pPr>
            <w:r w:rsidRPr="00DD052A">
              <w:rPr>
                <w:rFonts w:cs="Times New Roman"/>
              </w:rPr>
              <w:t>85,6:14,4</w:t>
            </w:r>
          </w:p>
        </w:tc>
        <w:tc>
          <w:tcPr>
            <w:tcW w:w="674" w:type="dxa"/>
          </w:tcPr>
          <w:p w14:paraId="56EE57BD" w14:textId="77777777" w:rsidR="00DD6728" w:rsidRPr="00DD052A" w:rsidRDefault="00DD6728" w:rsidP="00DD052A">
            <w:pPr>
              <w:rPr>
                <w:rFonts w:cs="Times New Roman"/>
              </w:rPr>
            </w:pPr>
            <w:r w:rsidRPr="00DD052A">
              <w:rPr>
                <w:rFonts w:cs="Times New Roman"/>
              </w:rPr>
              <w:t>85,5:14,5</w:t>
            </w:r>
          </w:p>
        </w:tc>
        <w:tc>
          <w:tcPr>
            <w:tcW w:w="847" w:type="dxa"/>
          </w:tcPr>
          <w:p w14:paraId="56EE57BE" w14:textId="77777777" w:rsidR="00DD6728" w:rsidRPr="00DD052A" w:rsidRDefault="00DD6728" w:rsidP="00DD052A">
            <w:pPr>
              <w:rPr>
                <w:rFonts w:cs="Times New Roman"/>
              </w:rPr>
            </w:pPr>
            <w:r w:rsidRPr="00DD052A">
              <w:rPr>
                <w:rFonts w:cs="Times New Roman"/>
              </w:rPr>
              <w:t>85,7:</w:t>
            </w:r>
            <w:r w:rsidR="00DD052A">
              <w:rPr>
                <w:rFonts w:cs="Times New Roman"/>
              </w:rPr>
              <w:t xml:space="preserve"> </w:t>
            </w:r>
            <w:r w:rsidRPr="00DD052A">
              <w:rPr>
                <w:rFonts w:cs="Times New Roman"/>
              </w:rPr>
              <w:t>14,3</w:t>
            </w:r>
          </w:p>
        </w:tc>
        <w:tc>
          <w:tcPr>
            <w:tcW w:w="1134" w:type="dxa"/>
          </w:tcPr>
          <w:p w14:paraId="56EE57BF" w14:textId="6C34F2F7" w:rsidR="00DD6728" w:rsidRPr="00DD052A" w:rsidRDefault="00DD6728" w:rsidP="00DD052A">
            <w:pPr>
              <w:rPr>
                <w:rFonts w:cs="Times New Roman"/>
              </w:rPr>
            </w:pPr>
            <w:r w:rsidRPr="00DD052A">
              <w:rPr>
                <w:rFonts w:cs="Times New Roman"/>
              </w:rPr>
              <w:t>75</w:t>
            </w:r>
            <w:r w:rsidR="0074210D">
              <w:rPr>
                <w:rFonts w:cs="Times New Roman"/>
              </w:rPr>
              <w:t>%</w:t>
            </w:r>
            <w:r w:rsidRPr="00DD052A">
              <w:rPr>
                <w:rFonts w:cs="Times New Roman"/>
              </w:rPr>
              <w:t>:25</w:t>
            </w:r>
            <w:r w:rsidR="0074210D">
              <w:rPr>
                <w:rFonts w:cs="Times New Roman"/>
              </w:rPr>
              <w:t>%</w:t>
            </w:r>
          </w:p>
        </w:tc>
        <w:tc>
          <w:tcPr>
            <w:tcW w:w="958" w:type="dxa"/>
          </w:tcPr>
          <w:p w14:paraId="56EE57C0" w14:textId="77777777" w:rsidR="00DD6728" w:rsidRPr="00DD052A" w:rsidRDefault="00DD6728" w:rsidP="00DD052A">
            <w:pPr>
              <w:rPr>
                <w:rFonts w:cs="Times New Roman"/>
              </w:rPr>
            </w:pPr>
          </w:p>
        </w:tc>
      </w:tr>
      <w:tr w:rsidR="00DD6728" w:rsidRPr="009B124B" w14:paraId="56EE57CA" w14:textId="77777777" w:rsidTr="00DD052A">
        <w:tc>
          <w:tcPr>
            <w:tcW w:w="3686" w:type="dxa"/>
          </w:tcPr>
          <w:p w14:paraId="56EE57C2" w14:textId="77777777" w:rsidR="00DD6728" w:rsidRPr="00DD052A" w:rsidRDefault="00DD6728" w:rsidP="00DD052A">
            <w:pPr>
              <w:rPr>
                <w:rFonts w:cs="Times New Roman"/>
                <w:b/>
              </w:rPr>
            </w:pPr>
            <w:r w:rsidRPr="00DD052A">
              <w:rPr>
                <w:rFonts w:cs="Times New Roman"/>
                <w:b/>
              </w:rPr>
              <w:t>III Elukestva õppe võimaluste ja töömaailma vajaduste vastavus</w:t>
            </w:r>
          </w:p>
        </w:tc>
        <w:tc>
          <w:tcPr>
            <w:tcW w:w="674" w:type="dxa"/>
          </w:tcPr>
          <w:p w14:paraId="56EE57C3" w14:textId="77777777" w:rsidR="00DD6728" w:rsidRPr="00DD052A" w:rsidRDefault="00DD6728" w:rsidP="00DD052A">
            <w:pPr>
              <w:rPr>
                <w:rFonts w:cs="Times New Roman"/>
                <w:b/>
              </w:rPr>
            </w:pPr>
          </w:p>
        </w:tc>
        <w:tc>
          <w:tcPr>
            <w:tcW w:w="674" w:type="dxa"/>
          </w:tcPr>
          <w:p w14:paraId="56EE57C4" w14:textId="77777777" w:rsidR="00DD6728" w:rsidRPr="00DD052A" w:rsidRDefault="00DD6728" w:rsidP="00DD052A">
            <w:pPr>
              <w:rPr>
                <w:rFonts w:cs="Times New Roman"/>
                <w:b/>
              </w:rPr>
            </w:pPr>
          </w:p>
        </w:tc>
        <w:tc>
          <w:tcPr>
            <w:tcW w:w="675" w:type="dxa"/>
          </w:tcPr>
          <w:p w14:paraId="56EE57C5" w14:textId="77777777" w:rsidR="00DD6728" w:rsidRPr="00DD052A" w:rsidRDefault="00DD6728" w:rsidP="00DD052A">
            <w:pPr>
              <w:rPr>
                <w:rFonts w:cs="Times New Roman"/>
                <w:b/>
              </w:rPr>
            </w:pPr>
          </w:p>
        </w:tc>
        <w:tc>
          <w:tcPr>
            <w:tcW w:w="674" w:type="dxa"/>
          </w:tcPr>
          <w:p w14:paraId="56EE57C6" w14:textId="77777777" w:rsidR="00DD6728" w:rsidRPr="00DD052A" w:rsidRDefault="00DD6728" w:rsidP="00DD052A">
            <w:pPr>
              <w:rPr>
                <w:rFonts w:cs="Times New Roman"/>
                <w:b/>
              </w:rPr>
            </w:pPr>
          </w:p>
        </w:tc>
        <w:tc>
          <w:tcPr>
            <w:tcW w:w="847" w:type="dxa"/>
          </w:tcPr>
          <w:p w14:paraId="56EE57C7" w14:textId="77777777" w:rsidR="00DD6728" w:rsidRPr="00DD052A" w:rsidRDefault="00DD6728" w:rsidP="00DD052A">
            <w:pPr>
              <w:rPr>
                <w:rFonts w:cs="Times New Roman"/>
                <w:b/>
              </w:rPr>
            </w:pPr>
          </w:p>
        </w:tc>
        <w:tc>
          <w:tcPr>
            <w:tcW w:w="1134" w:type="dxa"/>
          </w:tcPr>
          <w:p w14:paraId="56EE57C8" w14:textId="77777777" w:rsidR="00DD6728" w:rsidRPr="00DD052A" w:rsidRDefault="00DD6728" w:rsidP="00DD052A">
            <w:pPr>
              <w:rPr>
                <w:rFonts w:cs="Times New Roman"/>
                <w:b/>
              </w:rPr>
            </w:pPr>
          </w:p>
        </w:tc>
        <w:tc>
          <w:tcPr>
            <w:tcW w:w="958" w:type="dxa"/>
          </w:tcPr>
          <w:p w14:paraId="56EE57C9" w14:textId="77777777" w:rsidR="00DD6728" w:rsidRPr="00DD052A" w:rsidRDefault="00DD6728" w:rsidP="00DD052A">
            <w:pPr>
              <w:rPr>
                <w:rFonts w:cs="Times New Roman"/>
                <w:b/>
              </w:rPr>
            </w:pPr>
          </w:p>
        </w:tc>
      </w:tr>
      <w:tr w:rsidR="00DD6728" w:rsidRPr="009B124B" w14:paraId="56EE57D9" w14:textId="77777777" w:rsidTr="00DD052A">
        <w:tc>
          <w:tcPr>
            <w:tcW w:w="3686" w:type="dxa"/>
          </w:tcPr>
          <w:p w14:paraId="56EE57CB" w14:textId="77777777" w:rsidR="00DD6728" w:rsidRPr="00DD052A" w:rsidRDefault="00DD6728" w:rsidP="00DD052A">
            <w:pPr>
              <w:rPr>
                <w:rFonts w:cs="Times New Roman"/>
              </w:rPr>
            </w:pPr>
            <w:r w:rsidRPr="00DD052A">
              <w:rPr>
                <w:rFonts w:cs="Times New Roman"/>
              </w:rPr>
              <w:t xml:space="preserve">LTT (loodus- ja täppisteadused, tehnika, tootmine ja ehitus) erialade lõpetajate osakaal (%) </w:t>
            </w:r>
            <w:r w:rsidRPr="00DD052A">
              <w:rPr>
                <w:rFonts w:cs="Times New Roman"/>
                <w:vertAlign w:val="superscript"/>
              </w:rPr>
              <w:footnoteReference w:id="34"/>
            </w:r>
            <w:r w:rsidRPr="00DD052A">
              <w:rPr>
                <w:rFonts w:cs="Times New Roman"/>
              </w:rPr>
              <w:t xml:space="preserve"> kõrghariduses</w:t>
            </w:r>
          </w:p>
        </w:tc>
        <w:tc>
          <w:tcPr>
            <w:tcW w:w="674" w:type="dxa"/>
          </w:tcPr>
          <w:p w14:paraId="56EE57CC" w14:textId="77777777" w:rsidR="00DD6728" w:rsidRPr="00DD052A" w:rsidRDefault="00DD6728" w:rsidP="00DD052A">
            <w:pPr>
              <w:rPr>
                <w:rFonts w:cs="Times New Roman"/>
              </w:rPr>
            </w:pPr>
          </w:p>
          <w:p w14:paraId="56EE57CD" w14:textId="77777777" w:rsidR="00DD6728" w:rsidRPr="00DD052A" w:rsidRDefault="00DD6728" w:rsidP="00DD052A">
            <w:pPr>
              <w:rPr>
                <w:rFonts w:cs="Times New Roman"/>
              </w:rPr>
            </w:pPr>
            <w:r w:rsidRPr="00DD052A">
              <w:rPr>
                <w:rFonts w:cs="Times New Roman"/>
              </w:rPr>
              <w:t>20,5</w:t>
            </w:r>
          </w:p>
        </w:tc>
        <w:tc>
          <w:tcPr>
            <w:tcW w:w="674" w:type="dxa"/>
          </w:tcPr>
          <w:p w14:paraId="56EE57CE" w14:textId="77777777" w:rsidR="00DD6728" w:rsidRPr="00DD052A" w:rsidRDefault="00DD6728" w:rsidP="00DD052A">
            <w:pPr>
              <w:rPr>
                <w:rFonts w:cs="Times New Roman"/>
              </w:rPr>
            </w:pPr>
          </w:p>
          <w:p w14:paraId="56EE57CF" w14:textId="77777777" w:rsidR="00DD6728" w:rsidRPr="00DD052A" w:rsidRDefault="00DD6728" w:rsidP="00DD052A">
            <w:pPr>
              <w:rPr>
                <w:rFonts w:cs="Times New Roman"/>
              </w:rPr>
            </w:pPr>
            <w:r w:rsidRPr="00DD052A">
              <w:rPr>
                <w:rFonts w:cs="Times New Roman"/>
              </w:rPr>
              <w:t>19,4</w:t>
            </w:r>
          </w:p>
        </w:tc>
        <w:tc>
          <w:tcPr>
            <w:tcW w:w="675" w:type="dxa"/>
          </w:tcPr>
          <w:p w14:paraId="56EE57D0" w14:textId="77777777" w:rsidR="00DD6728" w:rsidRPr="00DD052A" w:rsidRDefault="00DD6728" w:rsidP="00DD052A">
            <w:pPr>
              <w:rPr>
                <w:rFonts w:cs="Times New Roman"/>
              </w:rPr>
            </w:pPr>
          </w:p>
          <w:p w14:paraId="56EE57D1" w14:textId="77777777" w:rsidR="00DD6728" w:rsidRPr="00DD052A" w:rsidRDefault="00DD6728" w:rsidP="00DD052A">
            <w:pPr>
              <w:rPr>
                <w:rFonts w:cs="Times New Roman"/>
              </w:rPr>
            </w:pPr>
            <w:r w:rsidRPr="00DD052A">
              <w:rPr>
                <w:rFonts w:cs="Times New Roman"/>
              </w:rPr>
              <w:t>20,5</w:t>
            </w:r>
          </w:p>
        </w:tc>
        <w:tc>
          <w:tcPr>
            <w:tcW w:w="674" w:type="dxa"/>
          </w:tcPr>
          <w:p w14:paraId="56EE57D2" w14:textId="77777777" w:rsidR="00DD6728" w:rsidRPr="00DD052A" w:rsidRDefault="00DD6728" w:rsidP="00DD052A">
            <w:pPr>
              <w:rPr>
                <w:rFonts w:cs="Times New Roman"/>
              </w:rPr>
            </w:pPr>
          </w:p>
          <w:p w14:paraId="56EE57D3" w14:textId="77777777" w:rsidR="00DD6728" w:rsidRPr="00DD052A" w:rsidRDefault="00DD6728" w:rsidP="00DD052A">
            <w:pPr>
              <w:rPr>
                <w:rFonts w:cs="Times New Roman"/>
              </w:rPr>
            </w:pPr>
            <w:r w:rsidRPr="00DD052A">
              <w:rPr>
                <w:rFonts w:cs="Times New Roman"/>
              </w:rPr>
              <w:t>21,1</w:t>
            </w:r>
          </w:p>
        </w:tc>
        <w:tc>
          <w:tcPr>
            <w:tcW w:w="847" w:type="dxa"/>
          </w:tcPr>
          <w:p w14:paraId="56EE57D4" w14:textId="77777777" w:rsidR="00DD6728" w:rsidRPr="00DD052A" w:rsidRDefault="00DD6728" w:rsidP="00DD052A">
            <w:pPr>
              <w:rPr>
                <w:rFonts w:cs="Times New Roman"/>
              </w:rPr>
            </w:pPr>
          </w:p>
          <w:p w14:paraId="56EE57D5" w14:textId="77777777" w:rsidR="00DD6728" w:rsidRPr="00DD052A" w:rsidRDefault="00DD6728" w:rsidP="00DD052A">
            <w:pPr>
              <w:rPr>
                <w:rFonts w:cs="Times New Roman"/>
              </w:rPr>
            </w:pPr>
            <w:r w:rsidRPr="00DD052A">
              <w:rPr>
                <w:rFonts w:cs="Times New Roman"/>
              </w:rPr>
              <w:t>22</w:t>
            </w:r>
          </w:p>
        </w:tc>
        <w:tc>
          <w:tcPr>
            <w:tcW w:w="1134" w:type="dxa"/>
          </w:tcPr>
          <w:p w14:paraId="56EE57D6" w14:textId="77777777" w:rsidR="00DD6728" w:rsidRPr="00DD052A" w:rsidRDefault="00DD6728" w:rsidP="00DD052A">
            <w:pPr>
              <w:rPr>
                <w:rFonts w:cs="Times New Roman"/>
              </w:rPr>
            </w:pPr>
          </w:p>
          <w:p w14:paraId="56EE57D7" w14:textId="77777777" w:rsidR="00DD6728" w:rsidRPr="00DD052A" w:rsidRDefault="00DD6728" w:rsidP="00DD052A">
            <w:pPr>
              <w:rPr>
                <w:rFonts w:cs="Times New Roman"/>
              </w:rPr>
            </w:pPr>
            <w:r w:rsidRPr="00DD052A">
              <w:rPr>
                <w:rFonts w:cs="Times New Roman"/>
              </w:rPr>
              <w:t>25%</w:t>
            </w:r>
          </w:p>
        </w:tc>
        <w:tc>
          <w:tcPr>
            <w:tcW w:w="958" w:type="dxa"/>
          </w:tcPr>
          <w:p w14:paraId="56EE57D8" w14:textId="77777777" w:rsidR="00DD6728" w:rsidRPr="00DD052A" w:rsidRDefault="00DD6728" w:rsidP="00DD052A">
            <w:pPr>
              <w:rPr>
                <w:rFonts w:cs="Times New Roman"/>
              </w:rPr>
            </w:pPr>
          </w:p>
        </w:tc>
      </w:tr>
      <w:tr w:rsidR="00DD6728" w:rsidRPr="009B124B" w14:paraId="56EE57E2" w14:textId="77777777" w:rsidTr="00DD052A">
        <w:tc>
          <w:tcPr>
            <w:tcW w:w="3686" w:type="dxa"/>
          </w:tcPr>
          <w:p w14:paraId="56EE57DA" w14:textId="77777777" w:rsidR="00DD6728" w:rsidRPr="00DD052A" w:rsidRDefault="00DD6728" w:rsidP="00DD052A">
            <w:pPr>
              <w:rPr>
                <w:rFonts w:cs="Times New Roman"/>
              </w:rPr>
            </w:pPr>
            <w:r w:rsidRPr="00DD052A">
              <w:rPr>
                <w:rFonts w:cs="Times New Roman"/>
              </w:rPr>
              <w:t>Karjäärinõustamise läbinud põhikoolilõpetajate osakaal</w:t>
            </w:r>
          </w:p>
        </w:tc>
        <w:tc>
          <w:tcPr>
            <w:tcW w:w="674" w:type="dxa"/>
          </w:tcPr>
          <w:p w14:paraId="56EE57DB" w14:textId="77777777" w:rsidR="00DD6728" w:rsidRPr="00DD052A" w:rsidRDefault="00DD6728" w:rsidP="00DD052A">
            <w:pPr>
              <w:rPr>
                <w:rFonts w:cs="Times New Roman"/>
              </w:rPr>
            </w:pPr>
          </w:p>
        </w:tc>
        <w:tc>
          <w:tcPr>
            <w:tcW w:w="674" w:type="dxa"/>
          </w:tcPr>
          <w:p w14:paraId="56EE57DC" w14:textId="77777777" w:rsidR="00DD6728" w:rsidRPr="00DD052A" w:rsidRDefault="00DD6728" w:rsidP="00DD052A">
            <w:pPr>
              <w:rPr>
                <w:rFonts w:cs="Times New Roman"/>
              </w:rPr>
            </w:pPr>
          </w:p>
        </w:tc>
        <w:tc>
          <w:tcPr>
            <w:tcW w:w="675" w:type="dxa"/>
          </w:tcPr>
          <w:p w14:paraId="56EE57DD" w14:textId="77777777" w:rsidR="00DD6728" w:rsidRPr="00DD052A" w:rsidRDefault="00DD6728" w:rsidP="00DD052A">
            <w:pPr>
              <w:rPr>
                <w:rFonts w:cs="Times New Roman"/>
              </w:rPr>
            </w:pPr>
          </w:p>
        </w:tc>
        <w:tc>
          <w:tcPr>
            <w:tcW w:w="674" w:type="dxa"/>
          </w:tcPr>
          <w:p w14:paraId="56EE57DE" w14:textId="77777777" w:rsidR="00DD6728" w:rsidRPr="00DD052A" w:rsidRDefault="00DD6728" w:rsidP="00DD052A">
            <w:pPr>
              <w:rPr>
                <w:rFonts w:cs="Times New Roman"/>
              </w:rPr>
            </w:pPr>
          </w:p>
        </w:tc>
        <w:tc>
          <w:tcPr>
            <w:tcW w:w="847" w:type="dxa"/>
          </w:tcPr>
          <w:p w14:paraId="56EE57DF" w14:textId="77777777" w:rsidR="00DD6728" w:rsidRPr="00DD052A" w:rsidRDefault="00DD6728" w:rsidP="00DD052A">
            <w:pPr>
              <w:rPr>
                <w:rFonts w:cs="Times New Roman"/>
              </w:rPr>
            </w:pPr>
          </w:p>
        </w:tc>
        <w:tc>
          <w:tcPr>
            <w:tcW w:w="1134" w:type="dxa"/>
          </w:tcPr>
          <w:p w14:paraId="56EE57E0" w14:textId="77777777" w:rsidR="00DD6728" w:rsidRPr="00DD052A" w:rsidRDefault="00DD6728" w:rsidP="00DD052A">
            <w:pPr>
              <w:rPr>
                <w:rFonts w:cs="Times New Roman"/>
              </w:rPr>
            </w:pPr>
            <w:r w:rsidRPr="00DD052A">
              <w:rPr>
                <w:rFonts w:cs="Times New Roman"/>
              </w:rPr>
              <w:t>100%</w:t>
            </w:r>
          </w:p>
        </w:tc>
        <w:tc>
          <w:tcPr>
            <w:tcW w:w="958" w:type="dxa"/>
          </w:tcPr>
          <w:p w14:paraId="56EE57E1" w14:textId="77777777" w:rsidR="00DD6728" w:rsidRPr="00DD052A" w:rsidRDefault="00DD6728" w:rsidP="00DD052A">
            <w:pPr>
              <w:rPr>
                <w:rFonts w:cs="Times New Roman"/>
              </w:rPr>
            </w:pPr>
          </w:p>
        </w:tc>
      </w:tr>
      <w:tr w:rsidR="00DD6728" w:rsidRPr="009B124B" w14:paraId="56EE57EB" w14:textId="77777777" w:rsidTr="00DD052A">
        <w:tc>
          <w:tcPr>
            <w:tcW w:w="3686" w:type="dxa"/>
          </w:tcPr>
          <w:p w14:paraId="56EE57E3" w14:textId="77777777" w:rsidR="00DD6728" w:rsidRPr="00DD052A" w:rsidRDefault="00DD6728" w:rsidP="00DD052A">
            <w:pPr>
              <w:rPr>
                <w:rFonts w:cs="Times New Roman"/>
              </w:rPr>
            </w:pPr>
            <w:r w:rsidRPr="00DD052A">
              <w:rPr>
                <w:rFonts w:cs="Times New Roman"/>
              </w:rPr>
              <w:t>Kutsehariduse statsionaarses õppes õpinguid jätkavate  põhikoolilõpetajate määr (%)</w:t>
            </w:r>
            <w:r w:rsidRPr="00DD052A">
              <w:rPr>
                <w:rFonts w:cs="Times New Roman"/>
                <w:vertAlign w:val="superscript"/>
              </w:rPr>
              <w:footnoteReference w:id="35"/>
            </w:r>
          </w:p>
        </w:tc>
        <w:tc>
          <w:tcPr>
            <w:tcW w:w="674" w:type="dxa"/>
          </w:tcPr>
          <w:p w14:paraId="56EE57E4" w14:textId="77777777" w:rsidR="00DD6728" w:rsidRPr="00DD052A" w:rsidRDefault="00DD6728" w:rsidP="00DD052A">
            <w:pPr>
              <w:rPr>
                <w:rFonts w:cs="Times New Roman"/>
              </w:rPr>
            </w:pPr>
            <w:r w:rsidRPr="00DD052A">
              <w:rPr>
                <w:rFonts w:cs="Times New Roman"/>
              </w:rPr>
              <w:t>30,4</w:t>
            </w:r>
          </w:p>
        </w:tc>
        <w:tc>
          <w:tcPr>
            <w:tcW w:w="674" w:type="dxa"/>
          </w:tcPr>
          <w:p w14:paraId="56EE57E5" w14:textId="77777777" w:rsidR="00DD6728" w:rsidRPr="00DD052A" w:rsidRDefault="00DD6728" w:rsidP="00DD052A">
            <w:pPr>
              <w:rPr>
                <w:rFonts w:cs="Times New Roman"/>
              </w:rPr>
            </w:pPr>
            <w:r w:rsidRPr="00DD052A">
              <w:rPr>
                <w:rFonts w:cs="Times New Roman"/>
              </w:rPr>
              <w:t>29,9</w:t>
            </w:r>
          </w:p>
        </w:tc>
        <w:tc>
          <w:tcPr>
            <w:tcW w:w="675" w:type="dxa"/>
          </w:tcPr>
          <w:p w14:paraId="56EE57E6" w14:textId="77777777" w:rsidR="00DD6728" w:rsidRPr="00DD052A" w:rsidRDefault="00DD6728" w:rsidP="00DD052A">
            <w:pPr>
              <w:rPr>
                <w:rFonts w:cs="Times New Roman"/>
              </w:rPr>
            </w:pPr>
            <w:r w:rsidRPr="00DD052A">
              <w:rPr>
                <w:rFonts w:cs="Times New Roman"/>
              </w:rPr>
              <w:t>26,3</w:t>
            </w:r>
          </w:p>
        </w:tc>
        <w:tc>
          <w:tcPr>
            <w:tcW w:w="674" w:type="dxa"/>
          </w:tcPr>
          <w:p w14:paraId="56EE57E7" w14:textId="77777777" w:rsidR="00DD6728" w:rsidRPr="00DD052A" w:rsidRDefault="00DD6728" w:rsidP="00DD052A">
            <w:pPr>
              <w:rPr>
                <w:rFonts w:cs="Times New Roman"/>
              </w:rPr>
            </w:pPr>
            <w:r w:rsidRPr="00DD052A">
              <w:rPr>
                <w:rFonts w:cs="Times New Roman"/>
              </w:rPr>
              <w:t>27,6</w:t>
            </w:r>
          </w:p>
        </w:tc>
        <w:tc>
          <w:tcPr>
            <w:tcW w:w="847" w:type="dxa"/>
          </w:tcPr>
          <w:p w14:paraId="56EE57E8" w14:textId="77777777" w:rsidR="00DD6728" w:rsidRPr="00DD052A" w:rsidRDefault="00DD6728" w:rsidP="00DD052A">
            <w:pPr>
              <w:rPr>
                <w:rFonts w:cs="Times New Roman"/>
              </w:rPr>
            </w:pPr>
            <w:r w:rsidRPr="00DD052A">
              <w:rPr>
                <w:rFonts w:cs="Times New Roman"/>
              </w:rPr>
              <w:t>28,6</w:t>
            </w:r>
          </w:p>
        </w:tc>
        <w:tc>
          <w:tcPr>
            <w:tcW w:w="1134" w:type="dxa"/>
          </w:tcPr>
          <w:p w14:paraId="56EE57E9" w14:textId="77777777" w:rsidR="00DD6728" w:rsidRPr="00DD052A" w:rsidRDefault="00DD6728" w:rsidP="00DD052A">
            <w:pPr>
              <w:rPr>
                <w:rFonts w:cs="Times New Roman"/>
              </w:rPr>
            </w:pPr>
            <w:r w:rsidRPr="00DD052A">
              <w:rPr>
                <w:rFonts w:cs="Times New Roman"/>
              </w:rPr>
              <w:t>35%</w:t>
            </w:r>
          </w:p>
        </w:tc>
        <w:tc>
          <w:tcPr>
            <w:tcW w:w="958" w:type="dxa"/>
          </w:tcPr>
          <w:p w14:paraId="56EE57EA" w14:textId="77777777" w:rsidR="00DD6728" w:rsidRPr="00DD052A" w:rsidRDefault="00DD6728" w:rsidP="00DD052A">
            <w:pPr>
              <w:rPr>
                <w:rFonts w:cs="Times New Roman"/>
              </w:rPr>
            </w:pPr>
          </w:p>
        </w:tc>
      </w:tr>
      <w:tr w:rsidR="00DD6728" w:rsidRPr="009B124B" w14:paraId="56EE57F4" w14:textId="77777777" w:rsidTr="00DD052A">
        <w:tc>
          <w:tcPr>
            <w:tcW w:w="3686" w:type="dxa"/>
          </w:tcPr>
          <w:p w14:paraId="56EE57EC" w14:textId="3BEB96B0" w:rsidR="00DD6728" w:rsidRPr="00DD052A" w:rsidRDefault="00DD6728" w:rsidP="00DD052A">
            <w:pPr>
              <w:rPr>
                <w:rFonts w:cs="Times New Roman"/>
              </w:rPr>
            </w:pPr>
            <w:r w:rsidRPr="00DD052A">
              <w:rPr>
                <w:rFonts w:cs="Times New Roman"/>
              </w:rPr>
              <w:t xml:space="preserve">Keskhariduse tasemel õppurite jagunemine </w:t>
            </w:r>
            <w:r w:rsidR="0074210D">
              <w:rPr>
                <w:rFonts w:cs="Times New Roman"/>
              </w:rPr>
              <w:t xml:space="preserve">(%) </w:t>
            </w:r>
            <w:r w:rsidRPr="00DD052A">
              <w:rPr>
                <w:rFonts w:cs="Times New Roman"/>
              </w:rPr>
              <w:t>üldkeskhariduse  ja kutsekeskhariduse  vahel</w:t>
            </w:r>
            <w:r w:rsidRPr="00DD052A">
              <w:rPr>
                <w:rFonts w:cs="Times New Roman"/>
                <w:vertAlign w:val="superscript"/>
              </w:rPr>
              <w:footnoteReference w:id="36"/>
            </w:r>
          </w:p>
        </w:tc>
        <w:tc>
          <w:tcPr>
            <w:tcW w:w="674" w:type="dxa"/>
          </w:tcPr>
          <w:p w14:paraId="56EE57ED" w14:textId="77777777" w:rsidR="00DD6728" w:rsidRPr="00DD052A" w:rsidRDefault="00DD6728" w:rsidP="00DD052A">
            <w:pPr>
              <w:rPr>
                <w:rFonts w:cs="Times New Roman"/>
              </w:rPr>
            </w:pPr>
            <w:r w:rsidRPr="00DD052A">
              <w:rPr>
                <w:rFonts w:cs="Times New Roman"/>
              </w:rPr>
              <w:t>67,7:32,3</w:t>
            </w:r>
          </w:p>
        </w:tc>
        <w:tc>
          <w:tcPr>
            <w:tcW w:w="674" w:type="dxa"/>
          </w:tcPr>
          <w:p w14:paraId="56EE57EE" w14:textId="77777777" w:rsidR="00DD6728" w:rsidRPr="00DD052A" w:rsidRDefault="00DD6728" w:rsidP="00DD052A">
            <w:pPr>
              <w:rPr>
                <w:rFonts w:cs="Times New Roman"/>
              </w:rPr>
            </w:pPr>
            <w:r w:rsidRPr="00DD052A">
              <w:rPr>
                <w:rFonts w:cs="Times New Roman"/>
              </w:rPr>
              <w:t>66,6:33,4</w:t>
            </w:r>
          </w:p>
        </w:tc>
        <w:tc>
          <w:tcPr>
            <w:tcW w:w="675" w:type="dxa"/>
          </w:tcPr>
          <w:p w14:paraId="56EE57EF" w14:textId="77777777" w:rsidR="00DD6728" w:rsidRPr="00DD052A" w:rsidRDefault="00DD6728" w:rsidP="00DD052A">
            <w:pPr>
              <w:rPr>
                <w:rFonts w:cs="Times New Roman"/>
              </w:rPr>
            </w:pPr>
            <w:r w:rsidRPr="00DD052A">
              <w:rPr>
                <w:rFonts w:cs="Times New Roman"/>
              </w:rPr>
              <w:t>66,3:33,7</w:t>
            </w:r>
          </w:p>
        </w:tc>
        <w:tc>
          <w:tcPr>
            <w:tcW w:w="674" w:type="dxa"/>
          </w:tcPr>
          <w:p w14:paraId="56EE57F0" w14:textId="77777777" w:rsidR="00DD6728" w:rsidRPr="00DD052A" w:rsidRDefault="00DD6728" w:rsidP="00DD052A">
            <w:pPr>
              <w:rPr>
                <w:rFonts w:cs="Times New Roman"/>
              </w:rPr>
            </w:pPr>
            <w:r w:rsidRPr="00DD052A">
              <w:rPr>
                <w:rFonts w:cs="Times New Roman"/>
              </w:rPr>
              <w:t>66,8:33,2</w:t>
            </w:r>
          </w:p>
        </w:tc>
        <w:tc>
          <w:tcPr>
            <w:tcW w:w="847" w:type="dxa"/>
          </w:tcPr>
          <w:p w14:paraId="56EE57F1" w14:textId="77777777" w:rsidR="00DD6728" w:rsidRPr="00DD052A" w:rsidRDefault="00DD6728" w:rsidP="00DD052A">
            <w:pPr>
              <w:rPr>
                <w:rFonts w:cs="Times New Roman"/>
              </w:rPr>
            </w:pPr>
            <w:r w:rsidRPr="00DD052A">
              <w:rPr>
                <w:rFonts w:cs="Times New Roman"/>
              </w:rPr>
              <w:t>67:33</w:t>
            </w:r>
          </w:p>
        </w:tc>
        <w:tc>
          <w:tcPr>
            <w:tcW w:w="1134" w:type="dxa"/>
          </w:tcPr>
          <w:p w14:paraId="56EE57F2" w14:textId="2D49ADF8" w:rsidR="00DD6728" w:rsidRPr="00DD052A" w:rsidRDefault="00DD6728" w:rsidP="00DD052A">
            <w:pPr>
              <w:rPr>
                <w:rFonts w:cs="Times New Roman"/>
              </w:rPr>
            </w:pPr>
            <w:r w:rsidRPr="00DD052A">
              <w:rPr>
                <w:rFonts w:cs="Times New Roman"/>
              </w:rPr>
              <w:t>60</w:t>
            </w:r>
            <w:r w:rsidR="0074210D">
              <w:rPr>
                <w:rFonts w:cs="Times New Roman"/>
              </w:rPr>
              <w:t>%</w:t>
            </w:r>
            <w:r w:rsidRPr="00DD052A">
              <w:rPr>
                <w:rFonts w:cs="Times New Roman"/>
              </w:rPr>
              <w:t>:40</w:t>
            </w:r>
            <w:r w:rsidR="0074210D">
              <w:rPr>
                <w:rFonts w:cs="Times New Roman"/>
              </w:rPr>
              <w:t>%</w:t>
            </w:r>
          </w:p>
        </w:tc>
        <w:tc>
          <w:tcPr>
            <w:tcW w:w="958" w:type="dxa"/>
          </w:tcPr>
          <w:p w14:paraId="56EE57F3" w14:textId="77777777" w:rsidR="00DD6728" w:rsidRPr="00DD052A" w:rsidRDefault="00DD6728" w:rsidP="00DD052A">
            <w:pPr>
              <w:rPr>
                <w:rFonts w:cs="Times New Roman"/>
              </w:rPr>
            </w:pPr>
          </w:p>
        </w:tc>
      </w:tr>
      <w:tr w:rsidR="00DD6728" w:rsidRPr="009B124B" w14:paraId="56EE57FD" w14:textId="77777777" w:rsidTr="00DD052A">
        <w:trPr>
          <w:trHeight w:val="605"/>
        </w:trPr>
        <w:tc>
          <w:tcPr>
            <w:tcW w:w="3686" w:type="dxa"/>
          </w:tcPr>
          <w:p w14:paraId="56EE57F5" w14:textId="77777777" w:rsidR="00DD6728" w:rsidRPr="00DD052A" w:rsidRDefault="00DD6728" w:rsidP="00DD052A">
            <w:pPr>
              <w:rPr>
                <w:rFonts w:cs="Times New Roman"/>
              </w:rPr>
            </w:pPr>
            <w:r w:rsidRPr="00DD052A">
              <w:rPr>
                <w:rFonts w:cs="Times New Roman"/>
              </w:rPr>
              <w:t>Üliõpilaste mobiilsus</w:t>
            </w:r>
            <w:r w:rsidRPr="00DD052A">
              <w:rPr>
                <w:rStyle w:val="FootnoteReference"/>
                <w:rFonts w:cs="Times New Roman"/>
              </w:rPr>
              <w:footnoteReference w:id="37"/>
            </w:r>
          </w:p>
        </w:tc>
        <w:tc>
          <w:tcPr>
            <w:tcW w:w="674" w:type="dxa"/>
          </w:tcPr>
          <w:p w14:paraId="56EE57F6" w14:textId="77777777" w:rsidR="00DD6728" w:rsidRPr="00DD052A" w:rsidRDefault="00DD6728" w:rsidP="00DD052A">
            <w:pPr>
              <w:rPr>
                <w:rFonts w:cs="Times New Roman"/>
              </w:rPr>
            </w:pPr>
            <w:r w:rsidRPr="00DD052A">
              <w:rPr>
                <w:rFonts w:cs="Times New Roman"/>
              </w:rPr>
              <w:t>1,4</w:t>
            </w:r>
          </w:p>
        </w:tc>
        <w:tc>
          <w:tcPr>
            <w:tcW w:w="674" w:type="dxa"/>
          </w:tcPr>
          <w:p w14:paraId="56EE57F7" w14:textId="77777777" w:rsidR="00DD6728" w:rsidRPr="00DD052A" w:rsidRDefault="00DD6728" w:rsidP="00DD052A">
            <w:pPr>
              <w:rPr>
                <w:rFonts w:cs="Times New Roman"/>
              </w:rPr>
            </w:pPr>
            <w:r w:rsidRPr="00DD052A">
              <w:rPr>
                <w:rFonts w:cs="Times New Roman"/>
              </w:rPr>
              <w:t>2,2</w:t>
            </w:r>
          </w:p>
        </w:tc>
        <w:tc>
          <w:tcPr>
            <w:tcW w:w="675" w:type="dxa"/>
          </w:tcPr>
          <w:p w14:paraId="56EE57F8" w14:textId="77777777" w:rsidR="00DD6728" w:rsidRPr="00DD052A" w:rsidRDefault="00DD6728" w:rsidP="00DD052A">
            <w:pPr>
              <w:rPr>
                <w:rFonts w:cs="Times New Roman"/>
              </w:rPr>
            </w:pPr>
            <w:r w:rsidRPr="00DD052A">
              <w:rPr>
                <w:rFonts w:cs="Times New Roman"/>
              </w:rPr>
              <w:t>2,8</w:t>
            </w:r>
          </w:p>
        </w:tc>
        <w:tc>
          <w:tcPr>
            <w:tcW w:w="674" w:type="dxa"/>
          </w:tcPr>
          <w:p w14:paraId="56EE57F9" w14:textId="77777777" w:rsidR="00DD6728" w:rsidRPr="00DD052A" w:rsidRDefault="00DD6728" w:rsidP="00DD052A">
            <w:pPr>
              <w:rPr>
                <w:rFonts w:cs="Times New Roman"/>
              </w:rPr>
            </w:pPr>
            <w:r w:rsidRPr="00DD052A">
              <w:rPr>
                <w:rFonts w:cs="Times New Roman"/>
              </w:rPr>
              <w:t>3,1</w:t>
            </w:r>
          </w:p>
        </w:tc>
        <w:tc>
          <w:tcPr>
            <w:tcW w:w="847" w:type="dxa"/>
          </w:tcPr>
          <w:p w14:paraId="56EE57FA" w14:textId="77777777" w:rsidR="00DD6728" w:rsidRPr="00DD052A" w:rsidRDefault="00DD6728" w:rsidP="00DD052A">
            <w:pPr>
              <w:rPr>
                <w:rFonts w:cs="Times New Roman"/>
              </w:rPr>
            </w:pPr>
            <w:r w:rsidRPr="00DD052A">
              <w:rPr>
                <w:rFonts w:cs="Times New Roman"/>
              </w:rPr>
              <w:t>3,5</w:t>
            </w:r>
          </w:p>
        </w:tc>
        <w:tc>
          <w:tcPr>
            <w:tcW w:w="1134" w:type="dxa"/>
          </w:tcPr>
          <w:p w14:paraId="56EE57FB" w14:textId="77777777" w:rsidR="00DD6728" w:rsidRPr="00DD052A" w:rsidRDefault="00DD6728" w:rsidP="00DD052A">
            <w:pPr>
              <w:rPr>
                <w:rFonts w:cs="Times New Roman"/>
              </w:rPr>
            </w:pPr>
            <w:r w:rsidRPr="00DD052A">
              <w:rPr>
                <w:rFonts w:cs="Times New Roman"/>
              </w:rPr>
              <w:t>10%</w:t>
            </w:r>
          </w:p>
        </w:tc>
        <w:tc>
          <w:tcPr>
            <w:tcW w:w="958" w:type="dxa"/>
          </w:tcPr>
          <w:p w14:paraId="56EE57FC" w14:textId="77777777" w:rsidR="00DD6728" w:rsidRPr="00DD052A" w:rsidRDefault="00DD6728" w:rsidP="00DD052A">
            <w:pPr>
              <w:rPr>
                <w:rFonts w:cs="Times New Roman"/>
              </w:rPr>
            </w:pPr>
          </w:p>
        </w:tc>
      </w:tr>
      <w:tr w:rsidR="00DD6728" w:rsidRPr="009B124B" w14:paraId="56EE5806" w14:textId="77777777" w:rsidTr="00DD052A">
        <w:tc>
          <w:tcPr>
            <w:tcW w:w="3686" w:type="dxa"/>
          </w:tcPr>
          <w:p w14:paraId="56EE57FE" w14:textId="77777777" w:rsidR="00DD6728" w:rsidRPr="00DD052A" w:rsidRDefault="00DD6728" w:rsidP="00DD052A">
            <w:pPr>
              <w:rPr>
                <w:rFonts w:cs="Times New Roman"/>
                <w:b/>
              </w:rPr>
            </w:pPr>
            <w:r w:rsidRPr="00DD052A">
              <w:rPr>
                <w:rFonts w:cs="Times New Roman"/>
                <w:b/>
              </w:rPr>
              <w:t>IV Digipööre elukestvas õppes</w:t>
            </w:r>
          </w:p>
        </w:tc>
        <w:tc>
          <w:tcPr>
            <w:tcW w:w="674" w:type="dxa"/>
          </w:tcPr>
          <w:p w14:paraId="56EE57FF" w14:textId="77777777" w:rsidR="00DD6728" w:rsidRPr="00DD052A" w:rsidRDefault="00DD6728" w:rsidP="00DD052A">
            <w:pPr>
              <w:rPr>
                <w:rFonts w:cs="Times New Roman"/>
                <w:b/>
              </w:rPr>
            </w:pPr>
          </w:p>
        </w:tc>
        <w:tc>
          <w:tcPr>
            <w:tcW w:w="674" w:type="dxa"/>
          </w:tcPr>
          <w:p w14:paraId="56EE5800" w14:textId="77777777" w:rsidR="00DD6728" w:rsidRPr="00DD052A" w:rsidRDefault="00DD6728" w:rsidP="00DD052A">
            <w:pPr>
              <w:rPr>
                <w:rFonts w:cs="Times New Roman"/>
                <w:b/>
              </w:rPr>
            </w:pPr>
          </w:p>
        </w:tc>
        <w:tc>
          <w:tcPr>
            <w:tcW w:w="675" w:type="dxa"/>
          </w:tcPr>
          <w:p w14:paraId="56EE5801" w14:textId="77777777" w:rsidR="00DD6728" w:rsidRPr="00DD052A" w:rsidRDefault="00DD6728" w:rsidP="00DD052A">
            <w:pPr>
              <w:rPr>
                <w:rFonts w:cs="Times New Roman"/>
                <w:b/>
              </w:rPr>
            </w:pPr>
          </w:p>
        </w:tc>
        <w:tc>
          <w:tcPr>
            <w:tcW w:w="674" w:type="dxa"/>
          </w:tcPr>
          <w:p w14:paraId="56EE5802" w14:textId="77777777" w:rsidR="00DD6728" w:rsidRPr="00DD052A" w:rsidRDefault="00DD6728" w:rsidP="00DD052A">
            <w:pPr>
              <w:rPr>
                <w:rFonts w:cs="Times New Roman"/>
                <w:b/>
              </w:rPr>
            </w:pPr>
          </w:p>
        </w:tc>
        <w:tc>
          <w:tcPr>
            <w:tcW w:w="847" w:type="dxa"/>
          </w:tcPr>
          <w:p w14:paraId="56EE5803" w14:textId="77777777" w:rsidR="00DD6728" w:rsidRPr="00DD052A" w:rsidRDefault="00DD6728" w:rsidP="00DD052A">
            <w:pPr>
              <w:rPr>
                <w:rFonts w:cs="Times New Roman"/>
                <w:b/>
              </w:rPr>
            </w:pPr>
          </w:p>
        </w:tc>
        <w:tc>
          <w:tcPr>
            <w:tcW w:w="1134" w:type="dxa"/>
          </w:tcPr>
          <w:p w14:paraId="56EE5804" w14:textId="77777777" w:rsidR="00DD6728" w:rsidRPr="00DD052A" w:rsidRDefault="00DD6728" w:rsidP="00DD052A">
            <w:pPr>
              <w:rPr>
                <w:rFonts w:cs="Times New Roman"/>
                <w:b/>
              </w:rPr>
            </w:pPr>
          </w:p>
        </w:tc>
        <w:tc>
          <w:tcPr>
            <w:tcW w:w="958" w:type="dxa"/>
          </w:tcPr>
          <w:p w14:paraId="56EE5805" w14:textId="77777777" w:rsidR="00DD6728" w:rsidRPr="00DD052A" w:rsidRDefault="00DD6728" w:rsidP="00DD052A">
            <w:pPr>
              <w:rPr>
                <w:rFonts w:cs="Times New Roman"/>
                <w:b/>
              </w:rPr>
            </w:pPr>
          </w:p>
        </w:tc>
      </w:tr>
      <w:tr w:rsidR="00DD6728" w:rsidRPr="009B124B" w14:paraId="56EE580F" w14:textId="77777777" w:rsidTr="00DD052A">
        <w:tc>
          <w:tcPr>
            <w:tcW w:w="3686" w:type="dxa"/>
          </w:tcPr>
          <w:p w14:paraId="56EE5807" w14:textId="77777777" w:rsidR="00DD6728" w:rsidRPr="00DD052A" w:rsidRDefault="00DD6728" w:rsidP="00DD052A">
            <w:pPr>
              <w:rPr>
                <w:rFonts w:cs="Times New Roman"/>
              </w:rPr>
            </w:pPr>
            <w:r w:rsidRPr="00DD052A">
              <w:rPr>
                <w:rFonts w:cs="Times New Roman"/>
              </w:rPr>
              <w:t>Õppijate osakaal erinevatel haridustasemetel (ISCED 1−6), kes kasutavad õppetöös iga päev arvutit vm personaalset digivahendit</w:t>
            </w:r>
          </w:p>
        </w:tc>
        <w:tc>
          <w:tcPr>
            <w:tcW w:w="674" w:type="dxa"/>
          </w:tcPr>
          <w:p w14:paraId="56EE5808" w14:textId="77777777" w:rsidR="00DD6728" w:rsidRPr="00DD052A" w:rsidRDefault="00DD6728" w:rsidP="00DD052A">
            <w:pPr>
              <w:rPr>
                <w:rFonts w:cs="Times New Roman"/>
              </w:rPr>
            </w:pPr>
          </w:p>
        </w:tc>
        <w:tc>
          <w:tcPr>
            <w:tcW w:w="674" w:type="dxa"/>
          </w:tcPr>
          <w:p w14:paraId="56EE5809" w14:textId="77777777" w:rsidR="00DD6728" w:rsidRPr="00DD052A" w:rsidRDefault="00DD6728" w:rsidP="00DD052A">
            <w:pPr>
              <w:rPr>
                <w:rFonts w:cs="Times New Roman"/>
              </w:rPr>
            </w:pPr>
          </w:p>
        </w:tc>
        <w:tc>
          <w:tcPr>
            <w:tcW w:w="675" w:type="dxa"/>
          </w:tcPr>
          <w:p w14:paraId="56EE580A" w14:textId="77777777" w:rsidR="00DD6728" w:rsidRPr="00DD052A" w:rsidRDefault="00DD6728" w:rsidP="00DD052A">
            <w:pPr>
              <w:rPr>
                <w:rFonts w:cs="Times New Roman"/>
              </w:rPr>
            </w:pPr>
          </w:p>
        </w:tc>
        <w:tc>
          <w:tcPr>
            <w:tcW w:w="674" w:type="dxa"/>
          </w:tcPr>
          <w:p w14:paraId="56EE580B" w14:textId="77777777" w:rsidR="00DD6728" w:rsidRPr="00DD052A" w:rsidRDefault="00DD6728" w:rsidP="00DD052A">
            <w:pPr>
              <w:rPr>
                <w:rFonts w:cs="Times New Roman"/>
              </w:rPr>
            </w:pPr>
          </w:p>
        </w:tc>
        <w:tc>
          <w:tcPr>
            <w:tcW w:w="847" w:type="dxa"/>
          </w:tcPr>
          <w:p w14:paraId="56EE580C" w14:textId="77777777" w:rsidR="00DD6728" w:rsidRPr="00DD052A" w:rsidRDefault="00DD6728" w:rsidP="00DD052A">
            <w:pPr>
              <w:rPr>
                <w:rFonts w:cs="Times New Roman"/>
              </w:rPr>
            </w:pPr>
          </w:p>
        </w:tc>
        <w:tc>
          <w:tcPr>
            <w:tcW w:w="1134" w:type="dxa"/>
          </w:tcPr>
          <w:p w14:paraId="56EE580D" w14:textId="77777777" w:rsidR="00DD6728" w:rsidRPr="00DD052A" w:rsidRDefault="00DD6728" w:rsidP="00DD052A">
            <w:pPr>
              <w:rPr>
                <w:rFonts w:cs="Times New Roman"/>
              </w:rPr>
            </w:pPr>
            <w:r w:rsidRPr="00DD052A">
              <w:rPr>
                <w:rFonts w:cs="Times New Roman"/>
              </w:rPr>
              <w:t>100%</w:t>
            </w:r>
          </w:p>
        </w:tc>
        <w:tc>
          <w:tcPr>
            <w:tcW w:w="958" w:type="dxa"/>
          </w:tcPr>
          <w:p w14:paraId="56EE580E" w14:textId="77777777" w:rsidR="00DD6728" w:rsidRPr="00DD052A" w:rsidRDefault="00DD6728" w:rsidP="00DD052A">
            <w:pPr>
              <w:rPr>
                <w:rFonts w:cs="Times New Roman"/>
              </w:rPr>
            </w:pPr>
          </w:p>
        </w:tc>
      </w:tr>
      <w:tr w:rsidR="00DD6728" w:rsidRPr="009B124B" w14:paraId="56EE5818" w14:textId="77777777" w:rsidTr="00DD052A">
        <w:tc>
          <w:tcPr>
            <w:tcW w:w="3686" w:type="dxa"/>
          </w:tcPr>
          <w:p w14:paraId="56EE5810" w14:textId="77777777" w:rsidR="00DD6728" w:rsidRPr="00DD052A" w:rsidRDefault="00DD6728" w:rsidP="00DD052A">
            <w:pPr>
              <w:rPr>
                <w:rFonts w:cs="Times New Roman"/>
              </w:rPr>
            </w:pPr>
            <w:r w:rsidRPr="00DD052A">
              <w:t>Nende 8. klassi õpilaste osakaal kõigist 8. klassi õpilastest, kes õpivad digitaalselt toetavates koolides</w:t>
            </w:r>
            <w:r w:rsidRPr="00DD052A">
              <w:rPr>
                <w:rStyle w:val="FootnoteReference"/>
              </w:rPr>
              <w:footnoteReference w:id="38"/>
            </w:r>
          </w:p>
        </w:tc>
        <w:tc>
          <w:tcPr>
            <w:tcW w:w="674" w:type="dxa"/>
          </w:tcPr>
          <w:p w14:paraId="56EE5811" w14:textId="77777777" w:rsidR="00DD6728" w:rsidRPr="00DD052A" w:rsidRDefault="00DD6728" w:rsidP="00DD052A">
            <w:pPr>
              <w:rPr>
                <w:rFonts w:cs="Times New Roman"/>
              </w:rPr>
            </w:pPr>
          </w:p>
        </w:tc>
        <w:tc>
          <w:tcPr>
            <w:tcW w:w="674" w:type="dxa"/>
          </w:tcPr>
          <w:p w14:paraId="56EE5812" w14:textId="77777777" w:rsidR="00DD6728" w:rsidRPr="00DD052A" w:rsidRDefault="00DD6728" w:rsidP="00DD052A">
            <w:pPr>
              <w:rPr>
                <w:rFonts w:cs="Times New Roman"/>
              </w:rPr>
            </w:pPr>
          </w:p>
        </w:tc>
        <w:tc>
          <w:tcPr>
            <w:tcW w:w="675" w:type="dxa"/>
          </w:tcPr>
          <w:p w14:paraId="56EE5813" w14:textId="77777777" w:rsidR="00DD6728" w:rsidRPr="00DD052A" w:rsidRDefault="00DD6728" w:rsidP="00DD052A">
            <w:pPr>
              <w:rPr>
                <w:rFonts w:cs="Times New Roman"/>
              </w:rPr>
            </w:pPr>
          </w:p>
        </w:tc>
        <w:tc>
          <w:tcPr>
            <w:tcW w:w="674" w:type="dxa"/>
          </w:tcPr>
          <w:p w14:paraId="56EE5814" w14:textId="77777777" w:rsidR="00DD6728" w:rsidRPr="00DD052A" w:rsidRDefault="00DD6728" w:rsidP="00DD052A">
            <w:pPr>
              <w:rPr>
                <w:rFonts w:cs="Times New Roman"/>
              </w:rPr>
            </w:pPr>
          </w:p>
        </w:tc>
        <w:tc>
          <w:tcPr>
            <w:tcW w:w="847" w:type="dxa"/>
          </w:tcPr>
          <w:p w14:paraId="56EE5815" w14:textId="77777777" w:rsidR="00DD6728" w:rsidRPr="00DD052A" w:rsidRDefault="00DD6728" w:rsidP="00DD052A">
            <w:pPr>
              <w:rPr>
                <w:rFonts w:cs="Times New Roman"/>
              </w:rPr>
            </w:pPr>
            <w:r w:rsidRPr="00DD052A">
              <w:t>33%</w:t>
            </w:r>
            <w:r w:rsidRPr="00DD052A">
              <w:rPr>
                <w:rStyle w:val="FootnoteReference"/>
              </w:rPr>
              <w:footnoteReference w:id="39"/>
            </w:r>
          </w:p>
        </w:tc>
        <w:tc>
          <w:tcPr>
            <w:tcW w:w="1134" w:type="dxa"/>
          </w:tcPr>
          <w:p w14:paraId="56EE5816" w14:textId="77777777" w:rsidR="00DD6728" w:rsidRPr="00DD052A" w:rsidRDefault="00DD6728" w:rsidP="00DD052A">
            <w:pPr>
              <w:rPr>
                <w:rFonts w:cs="Times New Roman"/>
              </w:rPr>
            </w:pPr>
            <w:r w:rsidRPr="00DD052A">
              <w:t>100%</w:t>
            </w:r>
          </w:p>
        </w:tc>
        <w:tc>
          <w:tcPr>
            <w:tcW w:w="958" w:type="dxa"/>
          </w:tcPr>
          <w:p w14:paraId="56EE5817" w14:textId="77777777" w:rsidR="00DD6728" w:rsidRPr="00DD052A" w:rsidRDefault="00DD6728" w:rsidP="00DD052A">
            <w:pPr>
              <w:rPr>
                <w:rFonts w:cs="Times New Roman"/>
              </w:rPr>
            </w:pPr>
          </w:p>
        </w:tc>
      </w:tr>
      <w:tr w:rsidR="00DD6728" w:rsidRPr="009B124B" w14:paraId="56EE5821" w14:textId="77777777" w:rsidTr="00DD052A">
        <w:tc>
          <w:tcPr>
            <w:tcW w:w="3686" w:type="dxa"/>
          </w:tcPr>
          <w:p w14:paraId="56EE5819" w14:textId="77777777" w:rsidR="00DD6728" w:rsidRPr="00DD052A" w:rsidRDefault="00DD6728" w:rsidP="00DD052A">
            <w:pPr>
              <w:rPr>
                <w:rFonts w:cs="Times New Roman"/>
              </w:rPr>
            </w:pPr>
            <w:r w:rsidRPr="00DD052A">
              <w:t>Nende 8. klassi õpilaste osakaal kõigist 8. klassi õpilastest, kes õpivad virtuaalse õpikeskkonnaga koolides</w:t>
            </w:r>
            <w:r w:rsidRPr="00DD052A">
              <w:rPr>
                <w:rStyle w:val="FootnoteReference"/>
              </w:rPr>
              <w:footnoteReference w:id="40"/>
            </w:r>
          </w:p>
        </w:tc>
        <w:tc>
          <w:tcPr>
            <w:tcW w:w="674" w:type="dxa"/>
          </w:tcPr>
          <w:p w14:paraId="56EE581A" w14:textId="77777777" w:rsidR="00DD6728" w:rsidRPr="00DD052A" w:rsidRDefault="00DD6728" w:rsidP="00DD052A">
            <w:pPr>
              <w:rPr>
                <w:rFonts w:cs="Times New Roman"/>
              </w:rPr>
            </w:pPr>
          </w:p>
        </w:tc>
        <w:tc>
          <w:tcPr>
            <w:tcW w:w="674" w:type="dxa"/>
          </w:tcPr>
          <w:p w14:paraId="56EE581B" w14:textId="77777777" w:rsidR="00DD6728" w:rsidRPr="00DD052A" w:rsidRDefault="00DD6728" w:rsidP="00DD052A">
            <w:pPr>
              <w:rPr>
                <w:rFonts w:cs="Times New Roman"/>
              </w:rPr>
            </w:pPr>
          </w:p>
        </w:tc>
        <w:tc>
          <w:tcPr>
            <w:tcW w:w="675" w:type="dxa"/>
          </w:tcPr>
          <w:p w14:paraId="56EE581C" w14:textId="77777777" w:rsidR="00DD6728" w:rsidRPr="00DD052A" w:rsidRDefault="00DD6728" w:rsidP="00DD052A">
            <w:pPr>
              <w:rPr>
                <w:rFonts w:cs="Times New Roman"/>
              </w:rPr>
            </w:pPr>
          </w:p>
        </w:tc>
        <w:tc>
          <w:tcPr>
            <w:tcW w:w="674" w:type="dxa"/>
          </w:tcPr>
          <w:p w14:paraId="56EE581D" w14:textId="77777777" w:rsidR="00DD6728" w:rsidRPr="00DD052A" w:rsidRDefault="00DD6728" w:rsidP="00DD052A">
            <w:pPr>
              <w:rPr>
                <w:rFonts w:cs="Times New Roman"/>
              </w:rPr>
            </w:pPr>
          </w:p>
        </w:tc>
        <w:tc>
          <w:tcPr>
            <w:tcW w:w="847" w:type="dxa"/>
          </w:tcPr>
          <w:p w14:paraId="56EE581E" w14:textId="77777777" w:rsidR="00DD6728" w:rsidRPr="00DD052A" w:rsidRDefault="00DD6728" w:rsidP="00DD052A">
            <w:pPr>
              <w:rPr>
                <w:rFonts w:cs="Times New Roman"/>
              </w:rPr>
            </w:pPr>
            <w:r w:rsidRPr="00DD052A">
              <w:t>54%</w:t>
            </w:r>
            <w:r w:rsidRPr="00DD052A">
              <w:rPr>
                <w:rStyle w:val="FootnoteReference"/>
              </w:rPr>
              <w:footnoteReference w:id="41"/>
            </w:r>
          </w:p>
        </w:tc>
        <w:tc>
          <w:tcPr>
            <w:tcW w:w="1134" w:type="dxa"/>
          </w:tcPr>
          <w:p w14:paraId="56EE581F" w14:textId="77777777" w:rsidR="00DD6728" w:rsidRPr="00DD052A" w:rsidRDefault="00DD6728" w:rsidP="00DD052A">
            <w:pPr>
              <w:rPr>
                <w:rFonts w:cs="Times New Roman"/>
              </w:rPr>
            </w:pPr>
            <w:r w:rsidRPr="00DD052A">
              <w:t>100%</w:t>
            </w:r>
          </w:p>
        </w:tc>
        <w:tc>
          <w:tcPr>
            <w:tcW w:w="958" w:type="dxa"/>
          </w:tcPr>
          <w:p w14:paraId="56EE5820" w14:textId="77777777" w:rsidR="00DD6728" w:rsidRPr="00DD052A" w:rsidRDefault="00DD6728" w:rsidP="00DD052A">
            <w:pPr>
              <w:rPr>
                <w:rFonts w:cs="Times New Roman"/>
              </w:rPr>
            </w:pPr>
          </w:p>
        </w:tc>
      </w:tr>
      <w:tr w:rsidR="00DD6728" w:rsidRPr="009B124B" w14:paraId="56EE582A" w14:textId="77777777" w:rsidTr="00DD052A">
        <w:tc>
          <w:tcPr>
            <w:tcW w:w="3686" w:type="dxa"/>
          </w:tcPr>
          <w:p w14:paraId="56EE5822" w14:textId="77777777" w:rsidR="00DD6728" w:rsidRPr="00DD052A" w:rsidRDefault="00DD6728" w:rsidP="00DD052A">
            <w:pPr>
              <w:rPr>
                <w:rFonts w:cs="Times New Roman"/>
              </w:rPr>
            </w:pPr>
            <w:r w:rsidRPr="00DD052A">
              <w:rPr>
                <w:rFonts w:cs="Times New Roman"/>
              </w:rPr>
              <w:t>Põhikoolilõpetajate määr, kellel on tõendatult olemas IKT baasoskused</w:t>
            </w:r>
            <w:r w:rsidRPr="00DD052A">
              <w:rPr>
                <w:rFonts w:cs="Times New Roman"/>
                <w:vertAlign w:val="superscript"/>
              </w:rPr>
              <w:footnoteReference w:id="42"/>
            </w:r>
          </w:p>
        </w:tc>
        <w:tc>
          <w:tcPr>
            <w:tcW w:w="674" w:type="dxa"/>
          </w:tcPr>
          <w:p w14:paraId="56EE5823" w14:textId="77777777" w:rsidR="00DD6728" w:rsidRPr="00DD052A" w:rsidRDefault="00DD6728" w:rsidP="00DD052A">
            <w:pPr>
              <w:rPr>
                <w:rFonts w:cs="Times New Roman"/>
              </w:rPr>
            </w:pPr>
          </w:p>
        </w:tc>
        <w:tc>
          <w:tcPr>
            <w:tcW w:w="674" w:type="dxa"/>
          </w:tcPr>
          <w:p w14:paraId="56EE5824" w14:textId="77777777" w:rsidR="00DD6728" w:rsidRPr="00DD052A" w:rsidRDefault="00DD6728" w:rsidP="00DD052A">
            <w:pPr>
              <w:rPr>
                <w:rFonts w:cs="Times New Roman"/>
              </w:rPr>
            </w:pPr>
          </w:p>
        </w:tc>
        <w:tc>
          <w:tcPr>
            <w:tcW w:w="675" w:type="dxa"/>
          </w:tcPr>
          <w:p w14:paraId="56EE5825" w14:textId="77777777" w:rsidR="00DD6728" w:rsidRPr="00DD052A" w:rsidRDefault="00DD6728" w:rsidP="00DD052A">
            <w:pPr>
              <w:rPr>
                <w:rFonts w:cs="Times New Roman"/>
              </w:rPr>
            </w:pPr>
          </w:p>
        </w:tc>
        <w:tc>
          <w:tcPr>
            <w:tcW w:w="674" w:type="dxa"/>
          </w:tcPr>
          <w:p w14:paraId="56EE5826" w14:textId="77777777" w:rsidR="00DD6728" w:rsidRPr="00DD052A" w:rsidRDefault="00DD6728" w:rsidP="00DD052A">
            <w:pPr>
              <w:rPr>
                <w:rFonts w:cs="Times New Roman"/>
              </w:rPr>
            </w:pPr>
          </w:p>
        </w:tc>
        <w:tc>
          <w:tcPr>
            <w:tcW w:w="847" w:type="dxa"/>
          </w:tcPr>
          <w:p w14:paraId="56EE5827" w14:textId="77777777" w:rsidR="00DD6728" w:rsidRPr="00DD052A" w:rsidRDefault="00DD6728" w:rsidP="00DD052A">
            <w:pPr>
              <w:rPr>
                <w:rFonts w:cs="Times New Roman"/>
              </w:rPr>
            </w:pPr>
          </w:p>
        </w:tc>
        <w:tc>
          <w:tcPr>
            <w:tcW w:w="1134" w:type="dxa"/>
          </w:tcPr>
          <w:p w14:paraId="56EE5828" w14:textId="77777777" w:rsidR="00DD6728" w:rsidRPr="00DD052A" w:rsidRDefault="00DD6728" w:rsidP="00DD052A">
            <w:pPr>
              <w:rPr>
                <w:rFonts w:cs="Times New Roman"/>
              </w:rPr>
            </w:pPr>
            <w:r w:rsidRPr="00DD052A">
              <w:rPr>
                <w:rFonts w:cs="Times New Roman"/>
              </w:rPr>
              <w:t>100%</w:t>
            </w:r>
          </w:p>
        </w:tc>
        <w:tc>
          <w:tcPr>
            <w:tcW w:w="958" w:type="dxa"/>
          </w:tcPr>
          <w:p w14:paraId="56EE5829" w14:textId="77777777" w:rsidR="00DD6728" w:rsidRPr="00DD052A" w:rsidRDefault="00DD6728" w:rsidP="00DD052A">
            <w:pPr>
              <w:rPr>
                <w:rFonts w:cs="Times New Roman"/>
              </w:rPr>
            </w:pPr>
          </w:p>
        </w:tc>
      </w:tr>
      <w:tr w:rsidR="00DD6728" w:rsidRPr="009B124B" w14:paraId="56EE5833" w14:textId="77777777" w:rsidTr="00DD052A">
        <w:tc>
          <w:tcPr>
            <w:tcW w:w="3686" w:type="dxa"/>
          </w:tcPr>
          <w:p w14:paraId="56EE582B" w14:textId="77777777" w:rsidR="00DD6728" w:rsidRPr="00DD052A" w:rsidRDefault="00DD6728" w:rsidP="00DD052A">
            <w:pPr>
              <w:rPr>
                <w:rFonts w:cs="Times New Roman"/>
                <w:b/>
              </w:rPr>
            </w:pPr>
            <w:r w:rsidRPr="00DD052A">
              <w:rPr>
                <w:rFonts w:cs="Times New Roman"/>
                <w:b/>
              </w:rPr>
              <w:t>V Võrdsed võimalused elukestvaks õppeks ja õppes osaluse kasv</w:t>
            </w:r>
          </w:p>
        </w:tc>
        <w:tc>
          <w:tcPr>
            <w:tcW w:w="674" w:type="dxa"/>
          </w:tcPr>
          <w:p w14:paraId="56EE582C" w14:textId="77777777" w:rsidR="00DD6728" w:rsidRPr="00DD052A" w:rsidRDefault="00DD6728" w:rsidP="00DD052A">
            <w:pPr>
              <w:rPr>
                <w:rFonts w:cs="Times New Roman"/>
                <w:b/>
              </w:rPr>
            </w:pPr>
          </w:p>
        </w:tc>
        <w:tc>
          <w:tcPr>
            <w:tcW w:w="674" w:type="dxa"/>
          </w:tcPr>
          <w:p w14:paraId="56EE582D" w14:textId="77777777" w:rsidR="00DD6728" w:rsidRPr="00DD052A" w:rsidRDefault="00DD6728" w:rsidP="00DD052A">
            <w:pPr>
              <w:rPr>
                <w:rFonts w:cs="Times New Roman"/>
                <w:b/>
              </w:rPr>
            </w:pPr>
          </w:p>
        </w:tc>
        <w:tc>
          <w:tcPr>
            <w:tcW w:w="675" w:type="dxa"/>
          </w:tcPr>
          <w:p w14:paraId="56EE582E" w14:textId="77777777" w:rsidR="00DD6728" w:rsidRPr="00DD052A" w:rsidRDefault="00DD6728" w:rsidP="00DD052A">
            <w:pPr>
              <w:rPr>
                <w:rFonts w:cs="Times New Roman"/>
                <w:b/>
              </w:rPr>
            </w:pPr>
          </w:p>
        </w:tc>
        <w:tc>
          <w:tcPr>
            <w:tcW w:w="674" w:type="dxa"/>
          </w:tcPr>
          <w:p w14:paraId="56EE582F" w14:textId="77777777" w:rsidR="00DD6728" w:rsidRPr="00DD052A" w:rsidRDefault="00DD6728" w:rsidP="00DD052A">
            <w:pPr>
              <w:rPr>
                <w:rFonts w:cs="Times New Roman"/>
                <w:b/>
              </w:rPr>
            </w:pPr>
          </w:p>
        </w:tc>
        <w:tc>
          <w:tcPr>
            <w:tcW w:w="847" w:type="dxa"/>
          </w:tcPr>
          <w:p w14:paraId="56EE5830" w14:textId="77777777" w:rsidR="00DD6728" w:rsidRPr="00DD052A" w:rsidRDefault="00DD6728" w:rsidP="00DD052A">
            <w:pPr>
              <w:rPr>
                <w:rFonts w:cs="Times New Roman"/>
                <w:b/>
              </w:rPr>
            </w:pPr>
          </w:p>
        </w:tc>
        <w:tc>
          <w:tcPr>
            <w:tcW w:w="1134" w:type="dxa"/>
          </w:tcPr>
          <w:p w14:paraId="56EE5831" w14:textId="77777777" w:rsidR="00DD6728" w:rsidRPr="00DD052A" w:rsidRDefault="00DD6728" w:rsidP="00DD052A">
            <w:pPr>
              <w:rPr>
                <w:rFonts w:cs="Times New Roman"/>
                <w:b/>
              </w:rPr>
            </w:pPr>
          </w:p>
        </w:tc>
        <w:tc>
          <w:tcPr>
            <w:tcW w:w="958" w:type="dxa"/>
          </w:tcPr>
          <w:p w14:paraId="56EE5832" w14:textId="77777777" w:rsidR="00DD6728" w:rsidRPr="00DD052A" w:rsidRDefault="00DD6728" w:rsidP="00DD052A">
            <w:pPr>
              <w:rPr>
                <w:rFonts w:cs="Times New Roman"/>
                <w:b/>
              </w:rPr>
            </w:pPr>
          </w:p>
        </w:tc>
      </w:tr>
      <w:tr w:rsidR="00DD6728" w:rsidRPr="009B124B" w14:paraId="56EE583C" w14:textId="77777777" w:rsidTr="00DD052A">
        <w:tc>
          <w:tcPr>
            <w:tcW w:w="3686" w:type="dxa"/>
          </w:tcPr>
          <w:p w14:paraId="56EE5834" w14:textId="77777777" w:rsidR="00DD6728" w:rsidRPr="00DD052A" w:rsidRDefault="00DD6728" w:rsidP="00DD052A">
            <w:pPr>
              <w:rPr>
                <w:rFonts w:cs="Times New Roman"/>
              </w:rPr>
            </w:pPr>
            <w:r w:rsidRPr="00DD052A">
              <w:rPr>
                <w:rFonts w:cs="Times New Roman"/>
              </w:rPr>
              <w:t>Kolmanda haridustasemega 30−34-aastaste osakaal earühmas (%)</w:t>
            </w:r>
            <w:r w:rsidRPr="00DD052A">
              <w:rPr>
                <w:rFonts w:cs="Times New Roman"/>
                <w:vertAlign w:val="superscript"/>
              </w:rPr>
              <w:footnoteReference w:id="43"/>
            </w:r>
          </w:p>
        </w:tc>
        <w:tc>
          <w:tcPr>
            <w:tcW w:w="674" w:type="dxa"/>
          </w:tcPr>
          <w:p w14:paraId="56EE5835" w14:textId="77777777" w:rsidR="00DD6728" w:rsidRPr="00DD052A" w:rsidRDefault="00DD6728" w:rsidP="00DD052A">
            <w:pPr>
              <w:rPr>
                <w:rFonts w:cs="Times New Roman"/>
              </w:rPr>
            </w:pPr>
            <w:r w:rsidRPr="00DD052A">
              <w:rPr>
                <w:rFonts w:cs="Times New Roman"/>
              </w:rPr>
              <w:t>34,1</w:t>
            </w:r>
          </w:p>
        </w:tc>
        <w:tc>
          <w:tcPr>
            <w:tcW w:w="674" w:type="dxa"/>
          </w:tcPr>
          <w:p w14:paraId="56EE5836" w14:textId="77777777" w:rsidR="00DD6728" w:rsidRPr="00DD052A" w:rsidRDefault="00DD6728" w:rsidP="00DD052A">
            <w:pPr>
              <w:rPr>
                <w:rFonts w:cs="Times New Roman"/>
              </w:rPr>
            </w:pPr>
            <w:r w:rsidRPr="00DD052A">
              <w:rPr>
                <w:rFonts w:cs="Times New Roman"/>
              </w:rPr>
              <w:t>35,9</w:t>
            </w:r>
          </w:p>
        </w:tc>
        <w:tc>
          <w:tcPr>
            <w:tcW w:w="675" w:type="dxa"/>
          </w:tcPr>
          <w:p w14:paraId="56EE5837" w14:textId="77777777" w:rsidR="00DD6728" w:rsidRPr="00DD052A" w:rsidRDefault="00DD6728" w:rsidP="00DD052A">
            <w:pPr>
              <w:rPr>
                <w:rFonts w:cs="Times New Roman"/>
              </w:rPr>
            </w:pPr>
            <w:r w:rsidRPr="00DD052A">
              <w:rPr>
                <w:rFonts w:cs="Times New Roman"/>
              </w:rPr>
              <w:t>40</w:t>
            </w:r>
          </w:p>
        </w:tc>
        <w:tc>
          <w:tcPr>
            <w:tcW w:w="674" w:type="dxa"/>
          </w:tcPr>
          <w:p w14:paraId="56EE5838" w14:textId="77777777" w:rsidR="00DD6728" w:rsidRPr="00DD052A" w:rsidRDefault="00DD6728" w:rsidP="00DD052A">
            <w:pPr>
              <w:rPr>
                <w:rFonts w:cs="Times New Roman"/>
              </w:rPr>
            </w:pPr>
            <w:r w:rsidRPr="00DD052A">
              <w:rPr>
                <w:rFonts w:cs="Times New Roman"/>
              </w:rPr>
              <w:t>40,3</w:t>
            </w:r>
          </w:p>
        </w:tc>
        <w:tc>
          <w:tcPr>
            <w:tcW w:w="847" w:type="dxa"/>
          </w:tcPr>
          <w:p w14:paraId="56EE5839" w14:textId="77777777" w:rsidR="00DD6728" w:rsidRPr="00DD052A" w:rsidRDefault="00DD6728" w:rsidP="00DD052A">
            <w:pPr>
              <w:rPr>
                <w:rFonts w:cs="Times New Roman"/>
              </w:rPr>
            </w:pPr>
            <w:r w:rsidRPr="00DD052A">
              <w:rPr>
                <w:rFonts w:cs="Times New Roman"/>
              </w:rPr>
              <w:t>39,1</w:t>
            </w:r>
          </w:p>
        </w:tc>
        <w:tc>
          <w:tcPr>
            <w:tcW w:w="1134" w:type="dxa"/>
          </w:tcPr>
          <w:p w14:paraId="56EE583A" w14:textId="77777777" w:rsidR="00DD6728" w:rsidRPr="00DD052A" w:rsidRDefault="00DD6728" w:rsidP="00DD052A">
            <w:pPr>
              <w:rPr>
                <w:rFonts w:cs="Times New Roman"/>
              </w:rPr>
            </w:pPr>
            <w:r w:rsidRPr="00DD052A">
              <w:rPr>
                <w:rFonts w:cs="Times New Roman"/>
              </w:rPr>
              <w:t>40%</w:t>
            </w:r>
          </w:p>
        </w:tc>
        <w:tc>
          <w:tcPr>
            <w:tcW w:w="958" w:type="dxa"/>
          </w:tcPr>
          <w:p w14:paraId="56EE583B" w14:textId="77777777" w:rsidR="00DD6728" w:rsidRPr="00DD052A" w:rsidRDefault="00DD6728" w:rsidP="00DD052A">
            <w:pPr>
              <w:rPr>
                <w:rFonts w:cs="Times New Roman"/>
              </w:rPr>
            </w:pPr>
          </w:p>
        </w:tc>
      </w:tr>
      <w:tr w:rsidR="00DD6728" w:rsidRPr="009B124B" w14:paraId="56EE5845" w14:textId="77777777" w:rsidTr="00DD052A">
        <w:tc>
          <w:tcPr>
            <w:tcW w:w="3686" w:type="dxa"/>
          </w:tcPr>
          <w:p w14:paraId="56EE583D" w14:textId="77777777" w:rsidR="00DD6728" w:rsidRPr="00DD052A" w:rsidRDefault="00DD6728" w:rsidP="00DD052A">
            <w:pPr>
              <w:rPr>
                <w:rFonts w:cs="Times New Roman"/>
              </w:rPr>
            </w:pPr>
            <w:r w:rsidRPr="00DD052A">
              <w:rPr>
                <w:rFonts w:cs="Times New Roman"/>
              </w:rPr>
              <w:t>4-aastaste kuni kooliealiste laste osakaal alushariduses (%)</w:t>
            </w:r>
            <w:r w:rsidRPr="00DD052A">
              <w:rPr>
                <w:rFonts w:cs="Times New Roman"/>
                <w:vertAlign w:val="superscript"/>
              </w:rPr>
              <w:footnoteReference w:id="44"/>
            </w:r>
          </w:p>
        </w:tc>
        <w:tc>
          <w:tcPr>
            <w:tcW w:w="674" w:type="dxa"/>
          </w:tcPr>
          <w:p w14:paraId="56EE583E" w14:textId="77777777" w:rsidR="00DD6728" w:rsidRPr="00DD052A" w:rsidRDefault="00DD6728" w:rsidP="00DD052A">
            <w:pPr>
              <w:rPr>
                <w:rFonts w:cs="Times New Roman"/>
              </w:rPr>
            </w:pPr>
            <w:r w:rsidRPr="00DD052A">
              <w:rPr>
                <w:rFonts w:cs="Times New Roman"/>
              </w:rPr>
              <w:t>95,1</w:t>
            </w:r>
          </w:p>
        </w:tc>
        <w:tc>
          <w:tcPr>
            <w:tcW w:w="674" w:type="dxa"/>
          </w:tcPr>
          <w:p w14:paraId="56EE583F" w14:textId="77777777" w:rsidR="00DD6728" w:rsidRPr="00DD052A" w:rsidRDefault="00DD6728" w:rsidP="00DD052A">
            <w:pPr>
              <w:rPr>
                <w:rFonts w:cs="Times New Roman"/>
              </w:rPr>
            </w:pPr>
            <w:r w:rsidRPr="00DD052A">
              <w:rPr>
                <w:rFonts w:cs="Times New Roman"/>
              </w:rPr>
              <w:t>95,7</w:t>
            </w:r>
          </w:p>
        </w:tc>
        <w:tc>
          <w:tcPr>
            <w:tcW w:w="675" w:type="dxa"/>
          </w:tcPr>
          <w:p w14:paraId="56EE5840" w14:textId="77777777" w:rsidR="00DD6728" w:rsidRPr="00DD052A" w:rsidRDefault="00DD6728" w:rsidP="00DD052A">
            <w:pPr>
              <w:rPr>
                <w:rFonts w:cs="Times New Roman"/>
              </w:rPr>
            </w:pPr>
            <w:r w:rsidRPr="00DD052A">
              <w:rPr>
                <w:rFonts w:cs="Times New Roman"/>
              </w:rPr>
              <w:t>89,8</w:t>
            </w:r>
            <w:r w:rsidRPr="00DD052A">
              <w:rPr>
                <w:rStyle w:val="FootnoteReference"/>
                <w:rFonts w:cs="Times New Roman"/>
              </w:rPr>
              <w:footnoteReference w:id="45"/>
            </w:r>
          </w:p>
        </w:tc>
        <w:tc>
          <w:tcPr>
            <w:tcW w:w="674" w:type="dxa"/>
          </w:tcPr>
          <w:p w14:paraId="56EE5841" w14:textId="77777777" w:rsidR="00DD6728" w:rsidRPr="00DD052A" w:rsidRDefault="00DD6728" w:rsidP="00DD052A">
            <w:pPr>
              <w:rPr>
                <w:rFonts w:cs="Times New Roman"/>
              </w:rPr>
            </w:pPr>
            <w:r w:rsidRPr="00DD052A">
              <w:rPr>
                <w:rFonts w:cs="Times New Roman"/>
              </w:rPr>
              <w:t>89,1</w:t>
            </w:r>
          </w:p>
        </w:tc>
        <w:tc>
          <w:tcPr>
            <w:tcW w:w="847" w:type="dxa"/>
          </w:tcPr>
          <w:p w14:paraId="56EE5842" w14:textId="77777777" w:rsidR="00DD6728" w:rsidRPr="00DD052A" w:rsidRDefault="00DD6728" w:rsidP="00DD052A">
            <w:pPr>
              <w:rPr>
                <w:rFonts w:cs="Times New Roman"/>
              </w:rPr>
            </w:pPr>
          </w:p>
        </w:tc>
        <w:tc>
          <w:tcPr>
            <w:tcW w:w="1134" w:type="dxa"/>
          </w:tcPr>
          <w:p w14:paraId="56EE5843" w14:textId="77777777" w:rsidR="00DD6728" w:rsidRPr="00DD052A" w:rsidRDefault="00DD6728" w:rsidP="00DD052A">
            <w:pPr>
              <w:rPr>
                <w:rFonts w:cs="Times New Roman"/>
              </w:rPr>
            </w:pPr>
            <w:r w:rsidRPr="00DD052A">
              <w:rPr>
                <w:rFonts w:cs="Times New Roman"/>
              </w:rPr>
              <w:t>95%</w:t>
            </w:r>
          </w:p>
        </w:tc>
        <w:tc>
          <w:tcPr>
            <w:tcW w:w="958" w:type="dxa"/>
          </w:tcPr>
          <w:p w14:paraId="56EE5844" w14:textId="77777777" w:rsidR="00DD6728" w:rsidRPr="00DD052A" w:rsidRDefault="00DD6728" w:rsidP="00DD052A">
            <w:pPr>
              <w:rPr>
                <w:rFonts w:cs="Times New Roman"/>
              </w:rPr>
            </w:pPr>
          </w:p>
        </w:tc>
      </w:tr>
      <w:tr w:rsidR="00DD052A" w:rsidRPr="009B124B" w14:paraId="56EE584E" w14:textId="77777777" w:rsidTr="00DD052A">
        <w:tc>
          <w:tcPr>
            <w:tcW w:w="3686" w:type="dxa"/>
          </w:tcPr>
          <w:p w14:paraId="56EE5846" w14:textId="77777777" w:rsidR="00DD052A" w:rsidRPr="00DD052A" w:rsidRDefault="00DD052A" w:rsidP="00DD052A">
            <w:pPr>
              <w:rPr>
                <w:rFonts w:cs="Times New Roman"/>
              </w:rPr>
            </w:pPr>
            <w:r w:rsidRPr="00DD052A">
              <w:rPr>
                <w:rFonts w:cs="Times New Roman"/>
              </w:rPr>
              <w:t>Vene õppekeelega põhikooli lõpetajate osakaal, kes valdavad eesti keelt tasemel B1 (%)</w:t>
            </w:r>
            <w:r w:rsidRPr="00DD052A">
              <w:rPr>
                <w:rFonts w:cs="Times New Roman"/>
                <w:vertAlign w:val="superscript"/>
              </w:rPr>
              <w:footnoteReference w:id="46"/>
            </w:r>
          </w:p>
        </w:tc>
        <w:tc>
          <w:tcPr>
            <w:tcW w:w="674" w:type="dxa"/>
          </w:tcPr>
          <w:p w14:paraId="56EE5847" w14:textId="77777777" w:rsidR="00DD052A" w:rsidRPr="00DD052A" w:rsidRDefault="00DD052A" w:rsidP="00DD052A">
            <w:pPr>
              <w:rPr>
                <w:rFonts w:cs="Times New Roman"/>
              </w:rPr>
            </w:pPr>
          </w:p>
        </w:tc>
        <w:tc>
          <w:tcPr>
            <w:tcW w:w="674" w:type="dxa"/>
          </w:tcPr>
          <w:p w14:paraId="56EE5848" w14:textId="77777777" w:rsidR="00DD052A" w:rsidRPr="00DD052A" w:rsidRDefault="00DD052A" w:rsidP="00DD052A">
            <w:pPr>
              <w:rPr>
                <w:rFonts w:cs="Times New Roman"/>
              </w:rPr>
            </w:pPr>
          </w:p>
        </w:tc>
        <w:tc>
          <w:tcPr>
            <w:tcW w:w="675" w:type="dxa"/>
          </w:tcPr>
          <w:p w14:paraId="56EE5849" w14:textId="77777777" w:rsidR="00DD052A" w:rsidRPr="00DD052A" w:rsidRDefault="00DD052A" w:rsidP="00DD052A">
            <w:pPr>
              <w:rPr>
                <w:rFonts w:cs="Times New Roman"/>
              </w:rPr>
            </w:pPr>
          </w:p>
        </w:tc>
        <w:tc>
          <w:tcPr>
            <w:tcW w:w="674" w:type="dxa"/>
          </w:tcPr>
          <w:p w14:paraId="56EE584A" w14:textId="77777777" w:rsidR="00DD052A" w:rsidRPr="00DD052A" w:rsidRDefault="00DD052A" w:rsidP="00DD052A">
            <w:pPr>
              <w:rPr>
                <w:rFonts w:cs="Times New Roman"/>
              </w:rPr>
            </w:pPr>
            <w:r w:rsidRPr="00DD052A">
              <w:rPr>
                <w:rFonts w:cs="Times New Roman"/>
              </w:rPr>
              <w:t>55,7</w:t>
            </w:r>
          </w:p>
        </w:tc>
        <w:tc>
          <w:tcPr>
            <w:tcW w:w="847" w:type="dxa"/>
          </w:tcPr>
          <w:p w14:paraId="56EE584B" w14:textId="77777777" w:rsidR="00DD052A" w:rsidRPr="00DD052A" w:rsidRDefault="00DD052A" w:rsidP="00DD052A">
            <w:pPr>
              <w:rPr>
                <w:rFonts w:cs="Times New Roman"/>
              </w:rPr>
            </w:pPr>
            <w:r w:rsidRPr="00DD052A">
              <w:rPr>
                <w:rFonts w:cs="Times New Roman"/>
              </w:rPr>
              <w:t>56,5</w:t>
            </w:r>
          </w:p>
        </w:tc>
        <w:tc>
          <w:tcPr>
            <w:tcW w:w="1134" w:type="dxa"/>
          </w:tcPr>
          <w:p w14:paraId="56EE584C" w14:textId="77777777" w:rsidR="00DD052A" w:rsidRPr="00DD052A" w:rsidRDefault="00DD052A" w:rsidP="00DD052A">
            <w:pPr>
              <w:rPr>
                <w:rFonts w:cs="Times New Roman"/>
              </w:rPr>
            </w:pPr>
            <w:r w:rsidRPr="00DD052A">
              <w:rPr>
                <w:rFonts w:cs="Times New Roman"/>
              </w:rPr>
              <w:t>90%</w:t>
            </w:r>
          </w:p>
        </w:tc>
        <w:tc>
          <w:tcPr>
            <w:tcW w:w="958" w:type="dxa"/>
          </w:tcPr>
          <w:p w14:paraId="56EE584D" w14:textId="77777777" w:rsidR="00DD052A" w:rsidRPr="00DD052A" w:rsidRDefault="00DD052A" w:rsidP="00DD052A">
            <w:pPr>
              <w:rPr>
                <w:rFonts w:cs="Times New Roman"/>
              </w:rPr>
            </w:pPr>
          </w:p>
        </w:tc>
      </w:tr>
      <w:tr w:rsidR="00DD052A" w:rsidRPr="009B124B" w14:paraId="56EE5867" w14:textId="77777777" w:rsidTr="00DD052A">
        <w:tc>
          <w:tcPr>
            <w:tcW w:w="3686" w:type="dxa"/>
          </w:tcPr>
          <w:p w14:paraId="56EE584F" w14:textId="77777777" w:rsidR="00DD052A" w:rsidRPr="00DD052A" w:rsidRDefault="00DD052A" w:rsidP="00DD052A">
            <w:r w:rsidRPr="00DD052A">
              <w:t>Tööjõukulude  osakaal valitsussektori hariduskuludest</w:t>
            </w:r>
            <w:r w:rsidRPr="00DD052A">
              <w:rPr>
                <w:rStyle w:val="FootnoteReference"/>
              </w:rPr>
              <w:footnoteReference w:id="47"/>
            </w:r>
            <w:r w:rsidRPr="00DD052A">
              <w:t xml:space="preserve"> (%)</w:t>
            </w:r>
          </w:p>
          <w:p w14:paraId="56EE5850" w14:textId="77777777" w:rsidR="00DD052A" w:rsidRPr="00DD052A" w:rsidRDefault="00DD052A" w:rsidP="00DD052A">
            <w:pPr>
              <w:rPr>
                <w:rFonts w:cs="Times New Roman"/>
              </w:rPr>
            </w:pPr>
            <w:r w:rsidRPr="00DD052A">
              <w:t>sh õpetaja tööjõukulude osakaal valitsussektori üldhariduskuludes (%)</w:t>
            </w:r>
          </w:p>
        </w:tc>
        <w:tc>
          <w:tcPr>
            <w:tcW w:w="674" w:type="dxa"/>
          </w:tcPr>
          <w:p w14:paraId="56EE5851" w14:textId="77777777" w:rsidR="00DD052A" w:rsidRPr="00DD052A" w:rsidRDefault="00DD052A" w:rsidP="00DD052A">
            <w:pPr>
              <w:rPr>
                <w:rFonts w:cs="Times New Roman"/>
              </w:rPr>
            </w:pPr>
          </w:p>
          <w:p w14:paraId="56EE5852" w14:textId="77777777" w:rsidR="00DD052A" w:rsidRPr="00DD052A" w:rsidRDefault="00DD052A" w:rsidP="00DD052A">
            <w:pPr>
              <w:rPr>
                <w:rFonts w:cs="Times New Roman"/>
              </w:rPr>
            </w:pPr>
            <w:r w:rsidRPr="00DD052A">
              <w:rPr>
                <w:rFonts w:cs="Times New Roman"/>
              </w:rPr>
              <w:t>55</w:t>
            </w:r>
          </w:p>
          <w:p w14:paraId="56EE5853" w14:textId="77777777" w:rsidR="00DD052A" w:rsidRPr="00DD052A" w:rsidRDefault="00DD052A" w:rsidP="00DD052A">
            <w:pPr>
              <w:rPr>
                <w:rFonts w:cs="Times New Roman"/>
              </w:rPr>
            </w:pPr>
          </w:p>
          <w:p w14:paraId="56EE5854" w14:textId="77777777" w:rsidR="00DD052A" w:rsidRPr="00DD052A" w:rsidRDefault="00DD052A" w:rsidP="00DD052A">
            <w:pPr>
              <w:rPr>
                <w:rFonts w:cs="Times New Roman"/>
              </w:rPr>
            </w:pPr>
            <w:r w:rsidRPr="00DD052A">
              <w:rPr>
                <w:rFonts w:cs="Times New Roman"/>
              </w:rPr>
              <w:t>36</w:t>
            </w:r>
          </w:p>
        </w:tc>
        <w:tc>
          <w:tcPr>
            <w:tcW w:w="674" w:type="dxa"/>
          </w:tcPr>
          <w:p w14:paraId="56EE5855" w14:textId="77777777" w:rsidR="00DD052A" w:rsidRPr="00DD052A" w:rsidRDefault="00DD052A" w:rsidP="00DD052A">
            <w:pPr>
              <w:rPr>
                <w:rFonts w:cs="Times New Roman"/>
              </w:rPr>
            </w:pPr>
          </w:p>
          <w:p w14:paraId="56EE5856" w14:textId="77777777" w:rsidR="00DD052A" w:rsidRPr="00DD052A" w:rsidRDefault="00DD052A" w:rsidP="00DD052A">
            <w:pPr>
              <w:rPr>
                <w:rFonts w:cs="Times New Roman"/>
              </w:rPr>
            </w:pPr>
            <w:r w:rsidRPr="00DD052A">
              <w:rPr>
                <w:rFonts w:cs="Times New Roman"/>
              </w:rPr>
              <w:t>58</w:t>
            </w:r>
          </w:p>
          <w:p w14:paraId="56EE5857" w14:textId="77777777" w:rsidR="00DD052A" w:rsidRPr="00DD052A" w:rsidRDefault="00DD052A" w:rsidP="00DD052A">
            <w:pPr>
              <w:rPr>
                <w:rFonts w:cs="Times New Roman"/>
              </w:rPr>
            </w:pPr>
          </w:p>
          <w:p w14:paraId="56EE5858" w14:textId="77777777" w:rsidR="00DD052A" w:rsidRPr="00DD052A" w:rsidRDefault="00DD052A" w:rsidP="00DD052A">
            <w:pPr>
              <w:rPr>
                <w:rFonts w:cs="Times New Roman"/>
              </w:rPr>
            </w:pPr>
            <w:r w:rsidRPr="00DD052A">
              <w:rPr>
                <w:rFonts w:cs="Times New Roman"/>
              </w:rPr>
              <w:t>37</w:t>
            </w:r>
          </w:p>
        </w:tc>
        <w:tc>
          <w:tcPr>
            <w:tcW w:w="675" w:type="dxa"/>
          </w:tcPr>
          <w:p w14:paraId="56EE5859" w14:textId="77777777" w:rsidR="00DD052A" w:rsidRPr="00DD052A" w:rsidRDefault="00DD052A" w:rsidP="00DD052A">
            <w:pPr>
              <w:rPr>
                <w:rFonts w:cs="Times New Roman"/>
              </w:rPr>
            </w:pPr>
          </w:p>
          <w:p w14:paraId="56EE585A" w14:textId="77777777" w:rsidR="00DD052A" w:rsidRPr="00DD052A" w:rsidRDefault="00DD052A" w:rsidP="00DD052A">
            <w:pPr>
              <w:rPr>
                <w:rFonts w:cs="Times New Roman"/>
              </w:rPr>
            </w:pPr>
            <w:r w:rsidRPr="00DD052A">
              <w:rPr>
                <w:rFonts w:cs="Times New Roman"/>
              </w:rPr>
              <w:t>57</w:t>
            </w:r>
          </w:p>
          <w:p w14:paraId="56EE585B" w14:textId="77777777" w:rsidR="00DD052A" w:rsidRPr="00DD052A" w:rsidRDefault="00DD052A" w:rsidP="00DD052A">
            <w:pPr>
              <w:rPr>
                <w:rFonts w:cs="Times New Roman"/>
              </w:rPr>
            </w:pPr>
          </w:p>
          <w:p w14:paraId="56EE585C" w14:textId="77777777" w:rsidR="00DD052A" w:rsidRPr="00DD052A" w:rsidRDefault="00DD052A" w:rsidP="00DD052A">
            <w:pPr>
              <w:rPr>
                <w:rFonts w:cs="Times New Roman"/>
              </w:rPr>
            </w:pPr>
            <w:r w:rsidRPr="00DD052A">
              <w:rPr>
                <w:rFonts w:cs="Times New Roman"/>
              </w:rPr>
              <w:t>39</w:t>
            </w:r>
          </w:p>
        </w:tc>
        <w:tc>
          <w:tcPr>
            <w:tcW w:w="674" w:type="dxa"/>
          </w:tcPr>
          <w:p w14:paraId="56EE585D" w14:textId="77777777" w:rsidR="00DD052A" w:rsidRPr="00DD052A" w:rsidRDefault="00DD052A" w:rsidP="00DD052A">
            <w:pPr>
              <w:rPr>
                <w:rFonts w:cs="Times New Roman"/>
              </w:rPr>
            </w:pPr>
          </w:p>
          <w:p w14:paraId="56EE585E" w14:textId="77777777" w:rsidR="00DD052A" w:rsidRPr="00DD052A" w:rsidRDefault="00DD052A" w:rsidP="00DD052A">
            <w:pPr>
              <w:rPr>
                <w:rFonts w:cs="Times New Roman"/>
              </w:rPr>
            </w:pPr>
            <w:r w:rsidRPr="00DD052A">
              <w:rPr>
                <w:rFonts w:cs="Times New Roman"/>
              </w:rPr>
              <w:t>55</w:t>
            </w:r>
          </w:p>
          <w:p w14:paraId="56EE585F" w14:textId="77777777" w:rsidR="00DD052A" w:rsidRPr="00DD052A" w:rsidRDefault="00DD052A" w:rsidP="00DD052A">
            <w:pPr>
              <w:rPr>
                <w:rFonts w:cs="Times New Roman"/>
              </w:rPr>
            </w:pPr>
          </w:p>
          <w:p w14:paraId="56EE5860" w14:textId="77777777" w:rsidR="00DD052A" w:rsidRPr="00DD052A" w:rsidRDefault="00DD052A" w:rsidP="00DD052A">
            <w:pPr>
              <w:rPr>
                <w:rFonts w:cs="Times New Roman"/>
              </w:rPr>
            </w:pPr>
            <w:r w:rsidRPr="00DD052A">
              <w:rPr>
                <w:rFonts w:cs="Times New Roman"/>
              </w:rPr>
              <w:t>38</w:t>
            </w:r>
          </w:p>
        </w:tc>
        <w:tc>
          <w:tcPr>
            <w:tcW w:w="847" w:type="dxa"/>
          </w:tcPr>
          <w:p w14:paraId="56EE5861" w14:textId="77777777" w:rsidR="00DD052A" w:rsidRPr="00DD052A" w:rsidRDefault="00DD052A" w:rsidP="00DD052A">
            <w:pPr>
              <w:rPr>
                <w:rFonts w:cs="Times New Roman"/>
              </w:rPr>
            </w:pPr>
          </w:p>
        </w:tc>
        <w:tc>
          <w:tcPr>
            <w:tcW w:w="1134" w:type="dxa"/>
          </w:tcPr>
          <w:p w14:paraId="56EE5862" w14:textId="77777777" w:rsidR="00DD052A" w:rsidRPr="00DD052A" w:rsidRDefault="00DD052A" w:rsidP="00DD052A">
            <w:pPr>
              <w:rPr>
                <w:rFonts w:cs="Times New Roman"/>
              </w:rPr>
            </w:pPr>
          </w:p>
          <w:p w14:paraId="56EE5863" w14:textId="77777777" w:rsidR="00DD052A" w:rsidRPr="00DD052A" w:rsidRDefault="00DD052A" w:rsidP="00DD052A">
            <w:pPr>
              <w:rPr>
                <w:rFonts w:cs="Times New Roman"/>
              </w:rPr>
            </w:pPr>
            <w:r w:rsidRPr="00DD052A">
              <w:rPr>
                <w:rFonts w:cs="Times New Roman"/>
              </w:rPr>
              <w:t>60</w:t>
            </w:r>
          </w:p>
          <w:p w14:paraId="56EE5864" w14:textId="77777777" w:rsidR="00DD052A" w:rsidRPr="00DD052A" w:rsidRDefault="00DD052A" w:rsidP="00DD052A">
            <w:pPr>
              <w:rPr>
                <w:rFonts w:cs="Times New Roman"/>
              </w:rPr>
            </w:pPr>
          </w:p>
          <w:p w14:paraId="56EE5865" w14:textId="77777777" w:rsidR="00DD052A" w:rsidRPr="00DD052A" w:rsidRDefault="00DD052A" w:rsidP="00DD052A">
            <w:pPr>
              <w:rPr>
                <w:rFonts w:cs="Times New Roman"/>
              </w:rPr>
            </w:pPr>
            <w:r w:rsidRPr="00DD052A">
              <w:rPr>
                <w:rFonts w:cs="Times New Roman"/>
              </w:rPr>
              <w:t>50</w:t>
            </w:r>
          </w:p>
        </w:tc>
        <w:tc>
          <w:tcPr>
            <w:tcW w:w="958" w:type="dxa"/>
          </w:tcPr>
          <w:p w14:paraId="56EE5866" w14:textId="77777777" w:rsidR="00DD052A" w:rsidRPr="00DD052A" w:rsidRDefault="00DD052A" w:rsidP="00DD052A">
            <w:pPr>
              <w:rPr>
                <w:rFonts w:cs="Times New Roman"/>
              </w:rPr>
            </w:pPr>
          </w:p>
        </w:tc>
      </w:tr>
      <w:tr w:rsidR="00DD052A" w:rsidRPr="009B124B" w14:paraId="56EE5870" w14:textId="77777777" w:rsidTr="00DD052A">
        <w:tc>
          <w:tcPr>
            <w:tcW w:w="3686" w:type="dxa"/>
          </w:tcPr>
          <w:p w14:paraId="56EE5868" w14:textId="77777777" w:rsidR="00DD052A" w:rsidRPr="00DD052A" w:rsidRDefault="00DD052A" w:rsidP="00DD052A">
            <w:r w:rsidRPr="00DD052A">
              <w:t>Haridusvaldkonna pinnakasutuse optimeerimine  (m2)</w:t>
            </w:r>
            <w:r w:rsidRPr="00DD052A">
              <w:rPr>
                <w:rStyle w:val="FootnoteReference"/>
              </w:rPr>
              <w:footnoteReference w:id="48"/>
            </w:r>
          </w:p>
        </w:tc>
        <w:tc>
          <w:tcPr>
            <w:tcW w:w="674" w:type="dxa"/>
          </w:tcPr>
          <w:p w14:paraId="56EE5869" w14:textId="77777777" w:rsidR="00DD052A" w:rsidRPr="00DD052A" w:rsidRDefault="00DD052A" w:rsidP="00DD052A">
            <w:pPr>
              <w:rPr>
                <w:rFonts w:cs="Times New Roman"/>
              </w:rPr>
            </w:pPr>
          </w:p>
        </w:tc>
        <w:tc>
          <w:tcPr>
            <w:tcW w:w="674" w:type="dxa"/>
          </w:tcPr>
          <w:p w14:paraId="56EE586A" w14:textId="77777777" w:rsidR="00DD052A" w:rsidRPr="00DD052A" w:rsidRDefault="00DD052A" w:rsidP="00DD052A">
            <w:pPr>
              <w:rPr>
                <w:rFonts w:cs="Times New Roman"/>
              </w:rPr>
            </w:pPr>
          </w:p>
        </w:tc>
        <w:tc>
          <w:tcPr>
            <w:tcW w:w="675" w:type="dxa"/>
          </w:tcPr>
          <w:p w14:paraId="56EE586B" w14:textId="77777777" w:rsidR="00DD052A" w:rsidRPr="00DD052A" w:rsidRDefault="00DD052A" w:rsidP="00DD052A">
            <w:pPr>
              <w:rPr>
                <w:rFonts w:cs="Times New Roman"/>
              </w:rPr>
            </w:pPr>
          </w:p>
        </w:tc>
        <w:tc>
          <w:tcPr>
            <w:tcW w:w="674" w:type="dxa"/>
          </w:tcPr>
          <w:p w14:paraId="56EE586C" w14:textId="77777777" w:rsidR="00DD052A" w:rsidRPr="00DD052A" w:rsidRDefault="00DD052A" w:rsidP="00DD052A">
            <w:pPr>
              <w:rPr>
                <w:rFonts w:cs="Times New Roman"/>
              </w:rPr>
            </w:pPr>
          </w:p>
        </w:tc>
        <w:tc>
          <w:tcPr>
            <w:tcW w:w="847" w:type="dxa"/>
          </w:tcPr>
          <w:p w14:paraId="56EE586D" w14:textId="7EE7EB29" w:rsidR="00DD052A" w:rsidRPr="00DD052A" w:rsidRDefault="00DD052A" w:rsidP="00DD052A">
            <w:pPr>
              <w:rPr>
                <w:rStyle w:val="CommentReference"/>
                <w:sz w:val="22"/>
                <w:szCs w:val="22"/>
              </w:rPr>
            </w:pPr>
            <w:r w:rsidRPr="00DD052A">
              <w:rPr>
                <w:rStyle w:val="CommentReference"/>
                <w:sz w:val="22"/>
                <w:szCs w:val="22"/>
              </w:rPr>
              <w:t>3,5</w:t>
            </w:r>
            <w:r w:rsidR="0074210D">
              <w:rPr>
                <w:rStyle w:val="CommentReference"/>
                <w:sz w:val="22"/>
                <w:szCs w:val="22"/>
              </w:rPr>
              <w:t xml:space="preserve"> milj</w:t>
            </w:r>
          </w:p>
        </w:tc>
        <w:tc>
          <w:tcPr>
            <w:tcW w:w="1134" w:type="dxa"/>
          </w:tcPr>
          <w:p w14:paraId="56EE586E" w14:textId="4659D25C" w:rsidR="00DD052A" w:rsidRPr="00DD052A" w:rsidRDefault="00DD052A" w:rsidP="00DD052A">
            <w:pPr>
              <w:rPr>
                <w:rFonts w:cs="Times New Roman"/>
              </w:rPr>
            </w:pPr>
            <w:r w:rsidRPr="00DD052A">
              <w:rPr>
                <w:rFonts w:cs="Times New Roman"/>
              </w:rPr>
              <w:t>3</w:t>
            </w:r>
            <w:r w:rsidR="0074210D">
              <w:rPr>
                <w:rFonts w:cs="Times New Roman"/>
              </w:rPr>
              <w:t xml:space="preserve"> milj</w:t>
            </w:r>
          </w:p>
        </w:tc>
        <w:tc>
          <w:tcPr>
            <w:tcW w:w="958" w:type="dxa"/>
          </w:tcPr>
          <w:p w14:paraId="56EE586F" w14:textId="77777777" w:rsidR="00DD052A" w:rsidRPr="00DD052A" w:rsidRDefault="00DD052A" w:rsidP="00DD052A">
            <w:pPr>
              <w:rPr>
                <w:rFonts w:cs="Times New Roman"/>
              </w:rPr>
            </w:pPr>
          </w:p>
        </w:tc>
      </w:tr>
    </w:tbl>
    <w:p w14:paraId="56EE5871" w14:textId="77777777" w:rsidR="00DD052A" w:rsidRDefault="00DD052A">
      <w:pPr>
        <w:rPr>
          <w:rFonts w:ascii="Calibri" w:hAnsi="Calibri"/>
          <w:color w:val="000000"/>
          <w:sz w:val="18"/>
          <w:szCs w:val="18"/>
        </w:rPr>
      </w:pPr>
      <w:r>
        <w:rPr>
          <w:rFonts w:ascii="Calibri" w:hAnsi="Calibri"/>
          <w:color w:val="000000"/>
          <w:sz w:val="18"/>
          <w:szCs w:val="18"/>
        </w:rPr>
        <w:br w:type="page"/>
      </w:r>
    </w:p>
    <w:p w14:paraId="56EE5873" w14:textId="1623B1EA" w:rsidR="00196493" w:rsidRPr="000C14D2" w:rsidRDefault="009B124B" w:rsidP="000C14D2">
      <w:pPr>
        <w:rPr>
          <w:rFonts w:asciiTheme="majorHAnsi" w:hAnsiTheme="majorHAnsi"/>
          <w:b/>
          <w:sz w:val="28"/>
          <w:szCs w:val="28"/>
        </w:rPr>
      </w:pPr>
      <w:r>
        <w:rPr>
          <w:rFonts w:ascii="Calibri" w:hAnsi="Calibri"/>
          <w:color w:val="000000"/>
          <w:sz w:val="18"/>
          <w:szCs w:val="18"/>
        </w:rPr>
        <w:t xml:space="preserve"> </w:t>
      </w:r>
      <w:bookmarkStart w:id="13" w:name="_Toc376952254"/>
      <w:r w:rsidR="00196493" w:rsidRPr="000C14D2">
        <w:rPr>
          <w:rFonts w:asciiTheme="majorHAnsi" w:hAnsiTheme="majorHAnsi"/>
          <w:b/>
          <w:color w:val="365F91" w:themeColor="accent1" w:themeShade="BF"/>
          <w:sz w:val="28"/>
          <w:szCs w:val="28"/>
        </w:rPr>
        <w:t>Lisa 2</w:t>
      </w:r>
      <w:r w:rsidR="00B36E8D" w:rsidRPr="000C14D2">
        <w:rPr>
          <w:rFonts w:asciiTheme="majorHAnsi" w:hAnsiTheme="majorHAnsi"/>
          <w:b/>
          <w:color w:val="365F91" w:themeColor="accent1" w:themeShade="BF"/>
          <w:sz w:val="28"/>
          <w:szCs w:val="28"/>
        </w:rPr>
        <w:t>.</w:t>
      </w:r>
      <w:r w:rsidR="00196493" w:rsidRPr="000C14D2">
        <w:rPr>
          <w:rFonts w:asciiTheme="majorHAnsi" w:hAnsiTheme="majorHAnsi"/>
          <w:b/>
          <w:color w:val="365F91" w:themeColor="accent1" w:themeShade="BF"/>
          <w:sz w:val="28"/>
          <w:szCs w:val="28"/>
        </w:rPr>
        <w:t xml:space="preserve"> Mõisted</w:t>
      </w:r>
      <w:bookmarkEnd w:id="13"/>
    </w:p>
    <w:p w14:paraId="56EE5874" w14:textId="77777777" w:rsidR="001135A3" w:rsidRPr="001135A3" w:rsidRDefault="001135A3" w:rsidP="001135A3"/>
    <w:p w14:paraId="56EE5875" w14:textId="77777777" w:rsidR="008D0B4D" w:rsidRPr="001135A3" w:rsidRDefault="008D0B4D" w:rsidP="008D0B4D">
      <w:r w:rsidRPr="001135A3">
        <w:rPr>
          <w:b/>
        </w:rPr>
        <w:t>Digiajastu</w:t>
      </w:r>
      <w:r w:rsidRPr="001135A3">
        <w:t xml:space="preserve"> on metafoor, millega viidatakse infoajastu käesolevale etapile, mil valdav osa infost edastatakse, esitletakse ja talletatakse arvutite abil numbrilisel e. digitaalsel kujul (nt arvutifailidena).</w:t>
      </w:r>
    </w:p>
    <w:p w14:paraId="56EE5876" w14:textId="77777777" w:rsidR="008D0B4D" w:rsidRPr="001135A3" w:rsidRDefault="008D0B4D" w:rsidP="008D0B4D">
      <w:r w:rsidRPr="001135A3">
        <w:rPr>
          <w:b/>
        </w:rPr>
        <w:t>Digikultuur</w:t>
      </w:r>
      <w:r w:rsidRPr="001135A3">
        <w:t xml:space="preserve"> on digiajastule omane suhtlus-, õpi- ja töökultuur, mida iseloomustab digitehnoloogia vahendatud eneseväljendus, teadmusloome, suhtlus sotsiaalvõrgustikes, jagamine ja </w:t>
      </w:r>
      <w:r w:rsidRPr="000A0E21">
        <w:t>remiksimine.</w:t>
      </w:r>
      <w:r w:rsidRPr="001135A3">
        <w:t xml:space="preserve"> </w:t>
      </w:r>
    </w:p>
    <w:p w14:paraId="56EE5877" w14:textId="77777777" w:rsidR="008D0B4D" w:rsidRPr="001135A3" w:rsidRDefault="008D0B4D" w:rsidP="008D0B4D">
      <w:r w:rsidRPr="001135A3">
        <w:rPr>
          <w:b/>
        </w:rPr>
        <w:t>Digitaalne õppevara</w:t>
      </w:r>
      <w:r w:rsidRPr="001135A3">
        <w:t xml:space="preserve"> ehk e-õppevara: digitaalsel kujul (nt veebis, andmebaasides või digitaalsetel andmekandjatel) avaldatud õppematerjalid, sh e-õpikud, õppeotstarbelised veebivideod ja mobiilirakendused, õpimängud,</w:t>
      </w:r>
      <w:r w:rsidR="00467530">
        <w:t xml:space="preserve"> </w:t>
      </w:r>
      <w:r w:rsidR="006A35FE">
        <w:t>e-õpetajaraamatud</w:t>
      </w:r>
      <w:r w:rsidR="00467530">
        <w:t>,</w:t>
      </w:r>
      <w:r w:rsidRPr="001135A3">
        <w:t xml:space="preserve"> e-töölehed, veebipõhised testid, õpiobjektid. </w:t>
      </w:r>
    </w:p>
    <w:p w14:paraId="56EE5878" w14:textId="77777777" w:rsidR="008D0B4D" w:rsidRPr="001135A3" w:rsidRDefault="008D0B4D" w:rsidP="008D0B4D">
      <w:r w:rsidRPr="001135A3">
        <w:rPr>
          <w:b/>
        </w:rPr>
        <w:t>Digipädevused</w:t>
      </w:r>
      <w:r w:rsidRPr="001135A3">
        <w:t xml:space="preserve"> on valmisolek kasutada digitehnoloogiat toimetulekuks kiiresti muutuvas teadmusühiskonnas nii töökohal, õppimisel, kodanikuna </w:t>
      </w:r>
      <w:r>
        <w:t>tegutsedes kui kogukondades suh</w:t>
      </w:r>
      <w:r w:rsidRPr="001135A3">
        <w:t xml:space="preserve">eldes. </w:t>
      </w:r>
    </w:p>
    <w:p w14:paraId="56EE5879" w14:textId="77777777" w:rsidR="008D0B4D" w:rsidRPr="001135A3" w:rsidRDefault="008D0B4D" w:rsidP="008D0B4D">
      <w:r w:rsidRPr="001135A3">
        <w:rPr>
          <w:b/>
        </w:rPr>
        <w:t>Digitaristu</w:t>
      </w:r>
      <w:r w:rsidRPr="001135A3">
        <w:t xml:space="preserve"> on digitaalne riist- ja tarkvara koos võrgulahenduste ja infosüsteemidega, mis on vajalikud haridussüsteemi toimimiseks, sh õpilaste ja õpetajate süle- või tahvelarvutid, koht- ja lairibavõrgu ühendused õppeasutustes, õppeinfosüsteemid ja virtuaalsed õpikeskkonnad</w:t>
      </w:r>
      <w:r w:rsidR="009E2353">
        <w:t>.</w:t>
      </w:r>
    </w:p>
    <w:p w14:paraId="56EE587A" w14:textId="77777777" w:rsidR="005844CA" w:rsidRDefault="005844CA" w:rsidP="001135A3">
      <w:pPr>
        <w:rPr>
          <w:b/>
        </w:rPr>
      </w:pPr>
      <w:r w:rsidRPr="005844CA">
        <w:rPr>
          <w:b/>
        </w:rPr>
        <w:t xml:space="preserve">Digiõpe </w:t>
      </w:r>
      <w:r w:rsidRPr="005844CA">
        <w:t>on digitaalse tehnoloogia kasutamine õppeprotsessis eesmärgipäraselt, et aidata kaasa kokkulepitud õpitulemuste saavutamisele.</w:t>
      </w:r>
      <w:r w:rsidRPr="005844CA">
        <w:rPr>
          <w:b/>
        </w:rPr>
        <w:t xml:space="preserve"> </w:t>
      </w:r>
    </w:p>
    <w:p w14:paraId="56EE587B" w14:textId="77777777" w:rsidR="001135A3" w:rsidRPr="001135A3" w:rsidRDefault="001135A3" w:rsidP="001135A3">
      <w:r w:rsidRPr="001135A3">
        <w:rPr>
          <w:b/>
        </w:rPr>
        <w:t>Elukestev õpe</w:t>
      </w:r>
      <w:r w:rsidRPr="001135A3">
        <w:t xml:space="preserve"> hõlmab formaalharidussüsteemi (lasteaed, põhikool, gümnaasium, kutseõppeasutus, kõrgkool) kõrval ka sellest väljaspool pakutavat täiendus- ja ümberõpet, mitteformaalset ja informaalset õpet kogu selle mitmekesisuses. Uute teadmise ja oskuste omandamise võimalusi annab töökoht, vaba- ja huviharidus ning noorsootöö, samuti osalemine kodanikuühiskonna organisatsioonide tegevuses või virtuaalruumis, kus saab õppida individuaalselt või koos teistega.  Uudishimu ja õpihuvi kujundavad kultuuriasutused, õpiharjumusi ja väärtushinnanguid aitab arendada ajateenistus. </w:t>
      </w:r>
      <w:r w:rsidR="000A5452">
        <w:t xml:space="preserve"> </w:t>
      </w:r>
    </w:p>
    <w:p w14:paraId="56EE587C" w14:textId="77777777" w:rsidR="001135A3" w:rsidRPr="001135A3" w:rsidRDefault="001135A3" w:rsidP="001135A3">
      <w:r w:rsidRPr="001135A3">
        <w:rPr>
          <w:b/>
          <w:bCs/>
        </w:rPr>
        <w:t xml:space="preserve">Formaalõpe </w:t>
      </w:r>
      <w:r w:rsidRPr="001135A3">
        <w:t xml:space="preserve">toimub enamasti koolikeskkonnas ning on õppekavade alusel organiseeritud. Formaalõpe on eesmärgistatud ja seda viivad läbi spetsiaalse ettevalmistuse ja kvalifikatsiooniga õpetajad. Õpieesmärgid seatakse enamasti väljastpoolt, õppimisprotsessi jälgitakse ja hinnatakse. Formaalõpe on kuni teatud taseme või eani kohustuslik. </w:t>
      </w:r>
    </w:p>
    <w:p w14:paraId="56EE587D" w14:textId="77777777" w:rsidR="008D0B4D" w:rsidRPr="001135A3" w:rsidRDefault="008D0B4D" w:rsidP="008D0B4D">
      <w:r w:rsidRPr="001135A3">
        <w:rPr>
          <w:b/>
          <w:bCs/>
        </w:rPr>
        <w:t xml:space="preserve">Informaalne õpe </w:t>
      </w:r>
      <w:r w:rsidRPr="001135A3">
        <w:t>on õppija seisukohast lähtudes eesmärgistamata õppimine, mis toimub igapäevaelu situatsioonides (näiteks perekonnas, töökohas, vabal ajal jne). Informaalse õppe tulemused ei ole enamasti õppija jaoks kohe nähtavad.</w:t>
      </w:r>
    </w:p>
    <w:p w14:paraId="56EE587E" w14:textId="77777777" w:rsidR="008D0B4D" w:rsidRPr="001135A3" w:rsidRDefault="008D0B4D" w:rsidP="008D0B4D">
      <w:r w:rsidRPr="001135A3">
        <w:rPr>
          <w:b/>
        </w:rPr>
        <w:t xml:space="preserve">Kool </w:t>
      </w:r>
      <w:r w:rsidRPr="001135A3">
        <w:t>on antud strateegia kontekstis mistahes õppeasutus – lastead, üldhariduskool, kutsekool, kõrgkool, huvikool, vabahariduslik koolituskeskus ja täiend</w:t>
      </w:r>
      <w:r w:rsidR="00261612">
        <w:t>us</w:t>
      </w:r>
      <w:r w:rsidRPr="001135A3">
        <w:t>õppeasutus.</w:t>
      </w:r>
      <w:r w:rsidRPr="001135A3">
        <w:rPr>
          <w:b/>
        </w:rPr>
        <w:t xml:space="preserve"> </w:t>
      </w:r>
    </w:p>
    <w:p w14:paraId="56EE587F" w14:textId="77777777" w:rsidR="008D0B4D" w:rsidRPr="001135A3" w:rsidRDefault="008D0B4D" w:rsidP="008D0B4D">
      <w:r w:rsidRPr="001135A3">
        <w:rPr>
          <w:b/>
        </w:rPr>
        <w:t>Koolijuht on</w:t>
      </w:r>
      <w:r w:rsidRPr="001135A3">
        <w:t xml:space="preserve"> mistahes õppeasutuse – lasteaia, üldhariduskooli, kutsekooli, kõrgkooli, huvikooli, vabaharidusliku koolituskeskuse või täiend</w:t>
      </w:r>
      <w:r w:rsidR="00261612">
        <w:t>us</w:t>
      </w:r>
      <w:r w:rsidRPr="001135A3">
        <w:t>õppeasutuse juht.</w:t>
      </w:r>
    </w:p>
    <w:p w14:paraId="56EE5880" w14:textId="77777777" w:rsidR="001135A3" w:rsidRPr="001135A3" w:rsidRDefault="001135A3" w:rsidP="001135A3">
      <w:r w:rsidRPr="001135A3">
        <w:rPr>
          <w:b/>
          <w:bCs/>
        </w:rPr>
        <w:t xml:space="preserve">Mitteformaalne õpe </w:t>
      </w:r>
      <w:r w:rsidRPr="001135A3">
        <w:t>leiab aset väljapool kooli ning on ette võetud teadlikult eesmärgiga end arendada. Mitteformaalne õpe võib toimuda väga erinevates keskkondades (näiteks, huvi- ja täiendushariduse omandamisel, aga ka  looduses), mille puhul õpetamine ja õppimine ei pruugi olla ainuke ega peamine otstarve. Mitteformaalne õpe on eesmärgistatud</w:t>
      </w:r>
      <w:r w:rsidR="00261612">
        <w:t xml:space="preserve"> nagu formaalõpegi</w:t>
      </w:r>
      <w:r w:rsidRPr="001135A3">
        <w:t>, kuid vabatahtlik. Läbiviijad võivad olla nii professionaalsed koolitajad kui ka näiteks vabatahtlikud või omaealised.</w:t>
      </w:r>
    </w:p>
    <w:p w14:paraId="56EE5881" w14:textId="77777777" w:rsidR="008D0B4D" w:rsidRDefault="008D0B4D" w:rsidP="008D0B4D">
      <w:r w:rsidRPr="001135A3">
        <w:rPr>
          <w:b/>
        </w:rPr>
        <w:t>Personaalne digiõpikeskkond</w:t>
      </w:r>
      <w:r w:rsidRPr="001135A3">
        <w:t>: õppija enese hallatav veebikeskkond, mille abil ta kavandab, dokumenteerib, mõtestab ja vajadusel ka tõendab oma õpikogemusi. </w:t>
      </w:r>
    </w:p>
    <w:p w14:paraId="56EE5882" w14:textId="77777777" w:rsidR="001135A3" w:rsidRPr="001135A3" w:rsidRDefault="001135A3" w:rsidP="001135A3">
      <w:r w:rsidRPr="001135A3">
        <w:rPr>
          <w:b/>
        </w:rPr>
        <w:t>Võtmepädevused</w:t>
      </w:r>
      <w:r w:rsidRPr="001135A3">
        <w:t xml:space="preserve"> on pädevused (oskused, teadmised, hoiakud), mida vajavad kõik, et tulla toime töö- ja pereelus ning teostada end isiksuse ja kodanikuna. </w:t>
      </w:r>
      <w:hyperlink r:id="rId14" w:history="1">
        <w:r w:rsidRPr="00752228">
          <w:rPr>
            <w:rStyle w:val="Hyperlink"/>
          </w:rPr>
          <w:t>Euroopa Parlament on määratlenud</w:t>
        </w:r>
      </w:hyperlink>
      <w:r w:rsidRPr="001135A3">
        <w:t xml:space="preserve"> järgmised elukestva õppe </w:t>
      </w:r>
      <w:r w:rsidR="00261612" w:rsidRPr="001135A3">
        <w:t>võtme</w:t>
      </w:r>
      <w:r w:rsidR="00261612">
        <w:t>pä</w:t>
      </w:r>
      <w:r w:rsidR="00261612" w:rsidRPr="001135A3">
        <w:t>d</w:t>
      </w:r>
      <w:r w:rsidR="00261612">
        <w:t>evused</w:t>
      </w:r>
      <w:r w:rsidRPr="001135A3">
        <w:t xml:space="preserve">: emakeeleoskus; võõrkeelteoskus; matemaatikapädevus ning teadmised teaduse ja tehnoloogia alustest; infotehnoloogiline pädevus; õpioskused; sotsiaalne ja kodanikupädevus; algatusvõime ja ettevõtlikkus; kultuuriteadlikkus ja kultuuriline väljendusoskus. Strateegias on eriliselt rõhutatud vajadust arendada loovust ja ettevõtlikkust, probleemilahendus- ja meeskonnatöö oskusi, kriitilist mõtlemist ja analüüsioskust ning digipädevusi. </w:t>
      </w:r>
    </w:p>
    <w:p w14:paraId="56EE5883" w14:textId="77777777" w:rsidR="001135A3" w:rsidRPr="001135A3" w:rsidRDefault="001135A3" w:rsidP="001135A3">
      <w:pPr>
        <w:rPr>
          <w:b/>
        </w:rPr>
      </w:pPr>
      <w:r w:rsidRPr="001135A3">
        <w:rPr>
          <w:b/>
        </w:rPr>
        <w:t>Õpetajad on</w:t>
      </w:r>
      <w:r w:rsidRPr="001135A3">
        <w:t xml:space="preserve"> kõik, kes õpetavad lasteaedades, üldhariduskoolides, kutsekoolides, kõrgkoolides, huvikoolides, vabahariduslikes koolituskeskustes, täiend</w:t>
      </w:r>
      <w:r w:rsidR="000337CD">
        <w:t>us</w:t>
      </w:r>
      <w:r w:rsidRPr="001135A3">
        <w:t>õppeasutustes, aga ka muuseumides jt kultuuriasutustes, kaitseväes, või juhendavad õppijat ettevõttes.</w:t>
      </w:r>
    </w:p>
    <w:p w14:paraId="56EE5884" w14:textId="77777777" w:rsidR="001135A3" w:rsidRPr="001135A3" w:rsidRDefault="001135A3" w:rsidP="001135A3">
      <w:r w:rsidRPr="001135A3">
        <w:rPr>
          <w:b/>
        </w:rPr>
        <w:t>Õpikäsitus</w:t>
      </w:r>
      <w:r w:rsidRPr="001135A3">
        <w:t xml:space="preserve"> hõlmab arusaama õppimise olemusest, eesmärkidest, meetoditest ja erinevate osapoolte rollist õppeprotsessis. </w:t>
      </w:r>
    </w:p>
    <w:p w14:paraId="56EE5885" w14:textId="77777777" w:rsidR="001135A3" w:rsidRPr="001135A3" w:rsidRDefault="001135A3" w:rsidP="001135A3">
      <w:r w:rsidRPr="001135A3">
        <w:rPr>
          <w:b/>
        </w:rPr>
        <w:t xml:space="preserve">Õppijad </w:t>
      </w:r>
      <w:r w:rsidRPr="001135A3">
        <w:t>on  Eesti elukestva õppe strateegias kõik – nii lapse, noored kui ka täiskasvanud.</w:t>
      </w:r>
    </w:p>
    <w:p w14:paraId="56EE5886" w14:textId="77777777" w:rsidR="000B77A4" w:rsidRDefault="000B77A4">
      <w:pPr>
        <w:sectPr w:rsidR="000B77A4" w:rsidSect="00AE3B02">
          <w:footerReference w:type="default" r:id="rId15"/>
          <w:pgSz w:w="11906" w:h="16838"/>
          <w:pgMar w:top="1417" w:right="1417" w:bottom="1417" w:left="1417" w:header="708" w:footer="708" w:gutter="0"/>
          <w:pgNumType w:start="0"/>
          <w:cols w:space="708"/>
          <w:titlePg/>
          <w:docGrid w:linePitch="360"/>
        </w:sectPr>
      </w:pPr>
    </w:p>
    <w:p w14:paraId="56EE5887" w14:textId="77777777" w:rsidR="00196493" w:rsidRPr="00196493" w:rsidRDefault="007554C8" w:rsidP="00196493">
      <w:pPr>
        <w:pStyle w:val="Heading1"/>
      </w:pPr>
      <w:bookmarkStart w:id="14" w:name="_Toc376952255"/>
      <w:r>
        <w:t>Lisa 3</w:t>
      </w:r>
      <w:r w:rsidR="00B36E8D">
        <w:t>.</w:t>
      </w:r>
      <w:r w:rsidR="00196493" w:rsidRPr="00196493">
        <w:t xml:space="preserve"> Seosed </w:t>
      </w:r>
      <w:r w:rsidR="0006645B">
        <w:t xml:space="preserve">EL poliitikate ning </w:t>
      </w:r>
      <w:r w:rsidR="00196493" w:rsidRPr="00196493">
        <w:t>teiste valdkondlike arengukavade</w:t>
      </w:r>
      <w:r w:rsidR="00EA48A9">
        <w:t xml:space="preserve"> ja läbivate teemadega</w:t>
      </w:r>
      <w:bookmarkEnd w:id="14"/>
    </w:p>
    <w:p w14:paraId="56EE5888" w14:textId="77777777" w:rsidR="00EA48A9" w:rsidRDefault="00EA48A9"/>
    <w:p w14:paraId="56EE5889" w14:textId="77777777" w:rsidR="00363D60" w:rsidRPr="00363D60" w:rsidRDefault="00363D60" w:rsidP="00363D60">
      <w:pPr>
        <w:jc w:val="both"/>
        <w:rPr>
          <w:rFonts w:ascii="Calibri" w:eastAsia="Calibri" w:hAnsi="Calibri" w:cs="Times New Roman"/>
          <w:color w:val="000000"/>
        </w:rPr>
      </w:pPr>
      <w:r w:rsidRPr="00363D60">
        <w:rPr>
          <w:rFonts w:ascii="Calibri" w:eastAsia="Calibri" w:hAnsi="Calibri" w:cs="Times New Roman"/>
          <w:color w:val="000000"/>
        </w:rPr>
        <w:t>Rahvusvahelistest strateegiatest ja suunistest on haridusvaldkonnas kõige olulisemad Lissaboni strateegiaga ja selle jätkustrateegiaga Euroopa 2020 seonduvad, mille raames püstitas Euroopa Komisjon eesmärgid vastavalt 2010. ja 2020. aastaks.</w:t>
      </w:r>
    </w:p>
    <w:p w14:paraId="56EE588A" w14:textId="77777777" w:rsidR="00363D60" w:rsidRPr="00363D60" w:rsidRDefault="00363D60" w:rsidP="00363D60">
      <w:pPr>
        <w:spacing w:after="0"/>
        <w:jc w:val="both"/>
        <w:rPr>
          <w:rFonts w:ascii="Calibri" w:eastAsia="Calibri" w:hAnsi="Calibri" w:cs="Cambria"/>
        </w:rPr>
      </w:pPr>
      <w:r w:rsidRPr="00363D60">
        <w:rPr>
          <w:rFonts w:ascii="Calibri" w:eastAsia="Calibri" w:hAnsi="Calibri" w:cs="Cambria"/>
        </w:rPr>
        <w:t>Aastaks 2020 seatud tähistest on kõige tähtsamad järgmised:</w:t>
      </w:r>
    </w:p>
    <w:p w14:paraId="56EE588B" w14:textId="77777777" w:rsidR="00363D60" w:rsidRPr="00363D60" w:rsidRDefault="00363D60" w:rsidP="00363D60">
      <w:pPr>
        <w:numPr>
          <w:ilvl w:val="0"/>
          <w:numId w:val="38"/>
        </w:numPr>
        <w:autoSpaceDE w:val="0"/>
        <w:autoSpaceDN w:val="0"/>
        <w:adjustRightInd w:val="0"/>
        <w:spacing w:after="0"/>
        <w:contextualSpacing/>
        <w:rPr>
          <w:rFonts w:ascii="Calibri" w:eastAsia="Calibri" w:hAnsi="Calibri" w:cs="Cambria"/>
        </w:rPr>
      </w:pPr>
      <w:r w:rsidRPr="00363D60">
        <w:rPr>
          <w:rFonts w:ascii="Calibri" w:eastAsia="Calibri" w:hAnsi="Calibri" w:cs="Cambria"/>
        </w:rPr>
        <w:t>vähemalt 95% lastest vanuses 4 aastat kuni koolikohustuse ea alguseni (Eestis 4–6-aastased) peaksid osalema alushariduses;</w:t>
      </w:r>
    </w:p>
    <w:p w14:paraId="56EE588C" w14:textId="77777777" w:rsidR="00363D60" w:rsidRPr="00363D60" w:rsidRDefault="00363D60" w:rsidP="00363D60">
      <w:pPr>
        <w:numPr>
          <w:ilvl w:val="0"/>
          <w:numId w:val="38"/>
        </w:numPr>
        <w:tabs>
          <w:tab w:val="num" w:pos="180"/>
        </w:tabs>
        <w:autoSpaceDE w:val="0"/>
        <w:autoSpaceDN w:val="0"/>
        <w:adjustRightInd w:val="0"/>
        <w:spacing w:after="0"/>
        <w:contextualSpacing/>
        <w:rPr>
          <w:rFonts w:ascii="Calibri" w:eastAsia="Calibri" w:hAnsi="Calibri" w:cs="Cambria"/>
        </w:rPr>
      </w:pPr>
      <w:r w:rsidRPr="00363D60">
        <w:rPr>
          <w:rFonts w:ascii="Calibri" w:eastAsia="Calibri" w:hAnsi="Calibri" w:cs="Cambria"/>
        </w:rPr>
        <w:t>madala funktsionaalse lugemisoskuse, matemaatilise ja loodusteadusliku kirjaoskusega 15-s</w:t>
      </w:r>
    </w:p>
    <w:p w14:paraId="56EE588D" w14:textId="77777777" w:rsidR="00363D60" w:rsidRPr="00363D60" w:rsidRDefault="00363D60" w:rsidP="00363D60">
      <w:pPr>
        <w:numPr>
          <w:ilvl w:val="0"/>
          <w:numId w:val="38"/>
        </w:numPr>
        <w:autoSpaceDE w:val="0"/>
        <w:autoSpaceDN w:val="0"/>
        <w:adjustRightInd w:val="0"/>
        <w:spacing w:after="0"/>
        <w:contextualSpacing/>
        <w:rPr>
          <w:rFonts w:ascii="Calibri" w:eastAsia="Calibri" w:hAnsi="Calibri" w:cs="Cambria"/>
        </w:rPr>
      </w:pPr>
      <w:r w:rsidRPr="00363D60">
        <w:rPr>
          <w:rFonts w:ascii="Calibri" w:eastAsia="Calibri" w:hAnsi="Calibri" w:cs="Times New Roman"/>
          <w:bCs/>
        </w:rPr>
        <w:t>madala haridustasemega (s.o põhiharidusega või alla selle) mitteõppivaid noori oleks alla 10% (18-24-aastaste vanusegrupis);</w:t>
      </w:r>
    </w:p>
    <w:p w14:paraId="56EE588E" w14:textId="77777777" w:rsidR="00363D60" w:rsidRPr="00363D60" w:rsidRDefault="00363D60" w:rsidP="00363D60">
      <w:pPr>
        <w:numPr>
          <w:ilvl w:val="0"/>
          <w:numId w:val="38"/>
        </w:numPr>
        <w:autoSpaceDE w:val="0"/>
        <w:autoSpaceDN w:val="0"/>
        <w:adjustRightInd w:val="0"/>
        <w:spacing w:after="0"/>
        <w:contextualSpacing/>
        <w:rPr>
          <w:rFonts w:ascii="Calibri" w:eastAsia="Calibri" w:hAnsi="Calibri" w:cs="Cambria"/>
        </w:rPr>
      </w:pPr>
      <w:r w:rsidRPr="00363D60">
        <w:rPr>
          <w:rFonts w:ascii="Calibri" w:eastAsia="Calibri" w:hAnsi="Calibri" w:cs="Cambria"/>
        </w:rPr>
        <w:t>vähemalt 40%l 30–34-aastastest noortest peaks olema III taseme haridus;</w:t>
      </w:r>
    </w:p>
    <w:p w14:paraId="56EE588F" w14:textId="77777777" w:rsidR="00363D60" w:rsidRPr="00363D60" w:rsidRDefault="00363D60" w:rsidP="00363D60">
      <w:pPr>
        <w:numPr>
          <w:ilvl w:val="0"/>
          <w:numId w:val="38"/>
        </w:numPr>
        <w:autoSpaceDE w:val="0"/>
        <w:autoSpaceDN w:val="0"/>
        <w:adjustRightInd w:val="0"/>
        <w:contextualSpacing/>
        <w:rPr>
          <w:rFonts w:ascii="Calibri" w:eastAsia="Calibri" w:hAnsi="Calibri" w:cs="Cambria"/>
        </w:rPr>
      </w:pPr>
      <w:r w:rsidRPr="00363D60">
        <w:rPr>
          <w:rFonts w:ascii="Calibri" w:eastAsia="Calibri" w:hAnsi="Calibri" w:cs="Cambria"/>
        </w:rPr>
        <w:t>vähemalt 15% täiskasvanutest vanuses 25–64 aastat osaleks elukestvas õppes;</w:t>
      </w:r>
    </w:p>
    <w:p w14:paraId="56EE5890" w14:textId="77777777" w:rsidR="00363D60" w:rsidRPr="00363D60" w:rsidRDefault="00363D60" w:rsidP="00363D60">
      <w:pPr>
        <w:numPr>
          <w:ilvl w:val="0"/>
          <w:numId w:val="38"/>
        </w:numPr>
        <w:autoSpaceDE w:val="0"/>
        <w:autoSpaceDN w:val="0"/>
        <w:adjustRightInd w:val="0"/>
        <w:contextualSpacing/>
        <w:rPr>
          <w:rFonts w:ascii="Calibri" w:eastAsia="Calibri" w:hAnsi="Calibri" w:cs="Cambria"/>
        </w:rPr>
      </w:pPr>
      <w:r w:rsidRPr="00363D60">
        <w:rPr>
          <w:rFonts w:ascii="Calibri" w:eastAsia="Calibri" w:hAnsi="Calibri" w:cs="Cambria"/>
        </w:rPr>
        <w:t>eri- ja kutsealase hariduseta täiskasvanute (25-64) osakaalu vähendamine 30%ni.</w:t>
      </w:r>
    </w:p>
    <w:p w14:paraId="56EE5891" w14:textId="77777777" w:rsidR="00363D60" w:rsidRPr="00363D60" w:rsidRDefault="00363D60" w:rsidP="00363D60">
      <w:pPr>
        <w:autoSpaceDE w:val="0"/>
        <w:autoSpaceDN w:val="0"/>
        <w:adjustRightInd w:val="0"/>
        <w:ind w:left="862"/>
        <w:contextualSpacing/>
        <w:rPr>
          <w:rFonts w:ascii="Calibri" w:eastAsia="Calibri" w:hAnsi="Calibri" w:cs="Cambria"/>
        </w:rPr>
      </w:pPr>
    </w:p>
    <w:p w14:paraId="56EE5892" w14:textId="77777777" w:rsidR="00363D60" w:rsidRPr="00363D60" w:rsidRDefault="00363D60" w:rsidP="00363D60">
      <w:pPr>
        <w:rPr>
          <w:rFonts w:ascii="Calibri" w:eastAsia="Calibri" w:hAnsi="Calibri" w:cs="Garamond"/>
          <w:color w:val="000000" w:themeColor="text1"/>
        </w:rPr>
      </w:pPr>
      <w:r w:rsidRPr="00363D60">
        <w:rPr>
          <w:rFonts w:ascii="Calibri" w:eastAsia="Calibri" w:hAnsi="Calibri" w:cs="Garamond"/>
          <w:color w:val="000000" w:themeColor="text1"/>
        </w:rPr>
        <w:t>Elukestva õppe strateegias on kavandatud meetmed nende sihttasemete saavutamiseks ning kõigi nende indikaatorite tasemeid jälgitakse.</w:t>
      </w:r>
    </w:p>
    <w:p w14:paraId="56EE5893" w14:textId="77777777" w:rsidR="00363D60" w:rsidRPr="00336E78" w:rsidRDefault="00363D60" w:rsidP="00363D60">
      <w:pPr>
        <w:spacing w:after="0"/>
      </w:pPr>
      <w:r w:rsidRPr="00336E78">
        <w:t xml:space="preserve">Elukestva õppe strateegial on seosed praktiliselt kõigi Eesti arengukavadega. Kõige otsesemaid seoseid kirjeldatakse alljärgneval joonisel, kus märksõnadega on markeeritud nende kõige tähtsam ühisosa. </w:t>
      </w:r>
    </w:p>
    <w:p w14:paraId="56EE5894" w14:textId="77777777" w:rsidR="00363D60" w:rsidRPr="00336E78" w:rsidRDefault="00363D60" w:rsidP="00363D60"/>
    <w:p w14:paraId="56EE5895" w14:textId="77777777" w:rsidR="00363D60" w:rsidRPr="00336E78" w:rsidRDefault="00363D60" w:rsidP="00363D60">
      <w:r w:rsidRPr="00336E78">
        <w:rPr>
          <w:noProof/>
          <w:lang w:eastAsia="et-EE"/>
        </w:rPr>
        <w:drawing>
          <wp:inline distT="0" distB="0" distL="0" distR="0" wp14:anchorId="56EE58FC" wp14:editId="56EE58FD">
            <wp:extent cx="6286500" cy="5265420"/>
            <wp:effectExtent l="19050" t="114300" r="76200" b="201930"/>
            <wp:docPr id="4" name="Skemaatiline 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6EE5896" w14:textId="77777777" w:rsidR="00363D60" w:rsidRPr="00336E78" w:rsidRDefault="00363D60" w:rsidP="00363D60">
      <w:pPr>
        <w:rPr>
          <w:b/>
        </w:rPr>
      </w:pPr>
    </w:p>
    <w:p w14:paraId="56EE5897" w14:textId="77777777" w:rsidR="00363D60" w:rsidRPr="00336E78" w:rsidRDefault="00363D60" w:rsidP="00363D60">
      <w:pPr>
        <w:rPr>
          <w:b/>
        </w:rPr>
      </w:pPr>
      <w:r w:rsidRPr="00336E78">
        <w:rPr>
          <w:b/>
        </w:rPr>
        <w:t>Seosed horisontaalsete strateegiliste kavadega</w:t>
      </w:r>
    </w:p>
    <w:p w14:paraId="56EE5898" w14:textId="77777777" w:rsidR="00363D60" w:rsidRPr="00336E78" w:rsidRDefault="00363D60" w:rsidP="00F14A5B">
      <w:pPr>
        <w:jc w:val="both"/>
      </w:pPr>
      <w:r w:rsidRPr="00336E78">
        <w:t xml:space="preserve">Elukestva õppe strateegia tegevused panustavad </w:t>
      </w:r>
      <w:r w:rsidRPr="00336E78">
        <w:rPr>
          <w:b/>
        </w:rPr>
        <w:t>„Eesti 2020“</w:t>
      </w:r>
      <w:r w:rsidRPr="00336E78">
        <w:t xml:space="preserve"> ja </w:t>
      </w:r>
      <w:r w:rsidRPr="00336E78">
        <w:rPr>
          <w:b/>
        </w:rPr>
        <w:t xml:space="preserve">„Säästev Eesti 21“ </w:t>
      </w:r>
      <w:r w:rsidRPr="00336E78">
        <w:t xml:space="preserve">eesmärkide täitmisesse.  Elukestva õppe strateegial on oluline roll konkurentsivõime kava „Eesti 2020“ üldeesmärkide saavutamisel - tootlikkuse parandamisele  ja tööhõive suurendamisele on otseselt suunatud mitmed 3. ja 5. strateegilise eesmärgi meetmed ja tegevused, kaudsemalt kõik strateegilised eesmärgid.    Konkurentsivõime kavas on  eesmärgiks seatud põhihariduse või madalama haridustasemega õpinguid mittejätkavate noorte osakaalu, noorte töötuse ning eri- ja kutsealase hariduseta täiskasvanute osakaalu vähenemine. Kasvu soovitakse näha kolmanda taseme haridusega 30−34aastaste inimeste osakaalus ning täiskasvanute elukestvas õppes osalemise määras. Elukestva õppe strateegias kavandatu aitab otseselt kaasa selle saavutamisele. </w:t>
      </w:r>
    </w:p>
    <w:p w14:paraId="56EE5899" w14:textId="77777777" w:rsidR="00363D60" w:rsidRPr="00336E78" w:rsidRDefault="00363D60" w:rsidP="00F14A5B">
      <w:pPr>
        <w:jc w:val="both"/>
      </w:pPr>
      <w:r w:rsidRPr="00336E78">
        <w:t xml:space="preserve">Säästva arengu riiklikus strateegias „Säästev Eesti 21“ on haritus ja haridussüsteem nelja eesmärgi – Eesti kultuuriruumi elujõulisus, heaolu kasv, sidus ühiskond ja ökoloogiline tasakaal – üks põhimehhanismidest ning Elukestva õppe strateegia tegevused panustavad selle kvaliteedi ja kättesaadavuse suurenemisse. </w:t>
      </w:r>
    </w:p>
    <w:p w14:paraId="56EE589A" w14:textId="77777777" w:rsidR="00363D60" w:rsidRPr="00336E78" w:rsidRDefault="00363D60" w:rsidP="00F14A5B">
      <w:pPr>
        <w:jc w:val="both"/>
      </w:pPr>
      <w:r w:rsidRPr="00336E78">
        <w:t>Eesti julgeolekupoliitika põhialustes rõhutatakse, et Eesti julgeolekut tugevdab sidus kodanikuühiskond, kus teadlikul kodanikuaktiivsusel on oluline roll julgeoleku ja turvatunde edendamisel. Samad rõhuasetused kajastuvad elukestva õppe süsteemi arendamise põhimõtetes, õpikäsituse rakendamise kaudu kujundatavad võtmepädevused ja väärtushoiakud tugevdavad kogu kodanikkonna psühholoogilise kaitse võimet.</w:t>
      </w:r>
    </w:p>
    <w:p w14:paraId="56EE589B" w14:textId="77777777" w:rsidR="00363D60" w:rsidRPr="00336E78" w:rsidRDefault="00363D60" w:rsidP="00F14A5B">
      <w:pPr>
        <w:jc w:val="both"/>
        <w:rPr>
          <w:b/>
        </w:rPr>
      </w:pPr>
    </w:p>
    <w:p w14:paraId="56EE589C" w14:textId="77777777" w:rsidR="00363D60" w:rsidRPr="00336E78" w:rsidRDefault="00363D60" w:rsidP="00F14A5B">
      <w:pPr>
        <w:jc w:val="both"/>
        <w:rPr>
          <w:b/>
        </w:rPr>
      </w:pPr>
      <w:r w:rsidRPr="00336E78">
        <w:rPr>
          <w:b/>
        </w:rPr>
        <w:t>Seosed valdkondlike arengudokumentidega</w:t>
      </w:r>
    </w:p>
    <w:p w14:paraId="56EE589D" w14:textId="77777777" w:rsidR="00363D60" w:rsidRPr="00336E78" w:rsidRDefault="00363D60" w:rsidP="00F14A5B">
      <w:pPr>
        <w:jc w:val="both"/>
      </w:pPr>
      <w:r w:rsidRPr="00336E78">
        <w:rPr>
          <w:b/>
        </w:rPr>
        <w:t>Laste ja perede arengukavas 2012</w:t>
      </w:r>
      <w:r w:rsidRPr="00336E78">
        <w:t>−</w:t>
      </w:r>
      <w:r w:rsidRPr="00336E78">
        <w:rPr>
          <w:b/>
        </w:rPr>
        <w:t>2020 ja Noortevaldkonna arengukavas 2014</w:t>
      </w:r>
      <w:r w:rsidRPr="00336E78">
        <w:t>−</w:t>
      </w:r>
      <w:r w:rsidRPr="00336E78">
        <w:rPr>
          <w:b/>
        </w:rPr>
        <w:t>2020</w:t>
      </w:r>
      <w:r w:rsidRPr="00336E78">
        <w:t xml:space="preserve"> toodu on nii eeldusteks kui täienduseks Elukestva õppe strateegia tegevustele. Kolme dokumendi kooskõlalised tegevused kvaliteetse lapsepõlve ja noorukiea ning heade arenguvõimaluste tagamisel on vajalikud selleks, et murda vaesuse, ebavõrdsuse, harimatuse ja oskamatuse nõiaring ning kindlustada järgnevate põlvkondade edukas toimetulek.  </w:t>
      </w:r>
    </w:p>
    <w:p w14:paraId="56EE589E" w14:textId="77777777" w:rsidR="00363D60" w:rsidRPr="00336E78" w:rsidRDefault="00363D60" w:rsidP="00F14A5B">
      <w:pPr>
        <w:jc w:val="both"/>
      </w:pPr>
      <w:r w:rsidRPr="00336E78">
        <w:rPr>
          <w:b/>
        </w:rPr>
        <w:t>Eesti keele arengukavas 2011</w:t>
      </w:r>
      <w:r w:rsidRPr="00336E78">
        <w:t>−</w:t>
      </w:r>
      <w:r w:rsidRPr="00336E78">
        <w:rPr>
          <w:b/>
        </w:rPr>
        <w:t xml:space="preserve">2017 </w:t>
      </w:r>
      <w:r w:rsidRPr="00336E78">
        <w:t>on öeldud, et haridus on eesti keele säilimise ja eesti rahvusliku kultuuriruumi püsimise põhilisi tagajaid. Hariduse ülesanne on anda üldine ja erialane eesti kirjakeele oskus ning kujundada positiivne suhtumine eesti keelesse. Eesti riigi, keele ja kultuuri jätkusuutlikkus on elukestva õppe süsteemi arendamise üks põhimõtetest.</w:t>
      </w:r>
    </w:p>
    <w:p w14:paraId="56EE589F" w14:textId="77777777" w:rsidR="00363D60" w:rsidRPr="00336E78" w:rsidRDefault="00363D60" w:rsidP="00F14A5B">
      <w:pPr>
        <w:jc w:val="both"/>
        <w:rPr>
          <w:b/>
        </w:rPr>
      </w:pPr>
      <w:r w:rsidRPr="00336E78">
        <w:rPr>
          <w:b/>
        </w:rPr>
        <w:t>Kultuuripoliitika põhialused aastani 2020</w:t>
      </w:r>
    </w:p>
    <w:p w14:paraId="56EE58A0" w14:textId="77777777" w:rsidR="00363D60" w:rsidRPr="00336E78" w:rsidRDefault="00363D60" w:rsidP="00F14A5B">
      <w:pPr>
        <w:jc w:val="both"/>
        <w:rPr>
          <w:rFonts w:eastAsia="MS Mincho"/>
        </w:rPr>
      </w:pPr>
      <w:r w:rsidRPr="00336E78">
        <w:t xml:space="preserve"> </w:t>
      </w:r>
      <w:r w:rsidRPr="00336E78">
        <w:rPr>
          <w:rFonts w:eastAsia="MS Mincho"/>
        </w:rPr>
        <w:t>Kultuuripoliitika eesmärgiks on kujundada loovust väärtustav ühiskond, hoides ja edendades eesti rahvuslikku identiteeti, uurides, talletades ja kandes edasi kultuurimälu ja luues soodsad tingimused elujõulise, avatud ning mitmekesise kultuuriruumi arenguks ja kultuuris osalemiseks. Elukestva õppe strateegia aitab kaasa sama eesmärgi saavutamisele.</w:t>
      </w:r>
    </w:p>
    <w:p w14:paraId="56EE58A1" w14:textId="77777777" w:rsidR="00363D60" w:rsidRPr="00336E78" w:rsidRDefault="00363D60" w:rsidP="00F14A5B">
      <w:pPr>
        <w:jc w:val="both"/>
      </w:pPr>
      <w:r w:rsidRPr="00336E78">
        <w:t xml:space="preserve">Elukestva õppe strateegia tegevustel on oluline sisend </w:t>
      </w:r>
      <w:r w:rsidRPr="00336E78">
        <w:rPr>
          <w:b/>
        </w:rPr>
        <w:t>Eesti ettevõtluse kasvustrateegia 2014</w:t>
      </w:r>
      <w:r w:rsidRPr="00336E78">
        <w:t>−</w:t>
      </w:r>
      <w:r w:rsidRPr="00336E78">
        <w:rPr>
          <w:b/>
        </w:rPr>
        <w:t>2020</w:t>
      </w:r>
      <w:r w:rsidRPr="00336E78">
        <w:t xml:space="preserve">  jaoks ettevõtlike ning kaasaegsete oskuste ja teadmistega inimeste kujunemiseks vajalike tingimuste loomisel, mis on tarvilikud kõrgema tootlikkuse taseme saavutamiseks Eestis. Samamoodi, läbi Inimeste kõrgetasemeliste oskuste ja teadmiste kujunemise toetamise kaudu on elukestva õppe strateegia tegevustel seos ka </w:t>
      </w:r>
      <w:r w:rsidRPr="00336E78">
        <w:rPr>
          <w:b/>
        </w:rPr>
        <w:t xml:space="preserve">Eesti teadus- ja arendustegevuse ning innovatsiooni strateegia „Teadmistepõhine Eesti 2014–2020” (TEI) </w:t>
      </w:r>
      <w:r w:rsidRPr="00336E78">
        <w:t xml:space="preserve">eesmärkidega. </w:t>
      </w:r>
    </w:p>
    <w:p w14:paraId="56EE58A2" w14:textId="77777777" w:rsidR="00363D60" w:rsidRPr="00336E78" w:rsidRDefault="00363D60" w:rsidP="00F14A5B">
      <w:pPr>
        <w:jc w:val="both"/>
      </w:pPr>
      <w:r w:rsidRPr="00336E78">
        <w:rPr>
          <w:b/>
        </w:rPr>
        <w:t xml:space="preserve">Infoühiskonna arengukavas 2020 </w:t>
      </w:r>
      <w:r w:rsidRPr="00336E78">
        <w:t>on seatud üldeesmärgiks</w:t>
      </w:r>
      <w:r w:rsidRPr="00336E78">
        <w:rPr>
          <w:b/>
        </w:rPr>
        <w:t xml:space="preserve"> </w:t>
      </w:r>
      <w:r w:rsidRPr="00336E78">
        <w:t>hästi toimiv keskkond IKT laialdaseks kasutamiseks ja nutikate lahenduste loomiseks. Elukestva õppe strateegiaga on Infoühiskonna arengukaval otsesed kokkupuutepunktid IKT taristu ning IKT võimaluste kasutamise  oskuste ja teadlikkuse kaudu. Infoühiskonna arengukavas kirjeldatud taristule tuginedes panustavad Elukestva õppe strateegia tegevused otseselt ühiskonna digioskuste ja teadlikkuse tõusu, muutes IKT vahendite ja -võimaluste kasutamise igapäevase õppimise osaks.</w:t>
      </w:r>
    </w:p>
    <w:p w14:paraId="56EE58A3" w14:textId="77777777" w:rsidR="00363D60" w:rsidRPr="00336E78" w:rsidRDefault="00363D60" w:rsidP="00F14A5B">
      <w:pPr>
        <w:jc w:val="both"/>
      </w:pPr>
      <w:r w:rsidRPr="00336E78">
        <w:rPr>
          <w:b/>
        </w:rPr>
        <w:t xml:space="preserve">Lõimuv Eesti 2020 </w:t>
      </w:r>
      <w:r w:rsidRPr="00336E78">
        <w:t>üks</w:t>
      </w:r>
      <w:r w:rsidRPr="00336E78">
        <w:rPr>
          <w:b/>
        </w:rPr>
        <w:t xml:space="preserve"> </w:t>
      </w:r>
      <w:r w:rsidRPr="00336E78">
        <w:t>kahest eesmärgist on immigranttaustaga elanike ja püsielanike vajadustele vastava, lõimumist toetava keskkonna tagamine. Selle realiseerumisse panustavad Elukestva õppe strateegia tegevused kvaliteetse hariduse kättesaadavuse tagamisel ning uue, personaalsemat lähenemist tagava õpikäsituse rakendamisel.</w:t>
      </w:r>
    </w:p>
    <w:p w14:paraId="56EE58A4" w14:textId="77777777" w:rsidR="00363D60" w:rsidRPr="00336E78" w:rsidRDefault="00363D60" w:rsidP="00F14A5B">
      <w:pPr>
        <w:jc w:val="both"/>
      </w:pPr>
      <w:r w:rsidRPr="00336E78">
        <w:rPr>
          <w:b/>
        </w:rPr>
        <w:t xml:space="preserve">Üleriigiline planeering Eesti 2030+ </w:t>
      </w:r>
      <w:r w:rsidRPr="00336E78">
        <w:t>ja</w:t>
      </w:r>
      <w:r w:rsidRPr="00336E78">
        <w:rPr>
          <w:b/>
        </w:rPr>
        <w:t xml:space="preserve"> Regionaalarengu strateegia 2020 </w:t>
      </w:r>
      <w:r w:rsidRPr="00336E78">
        <w:t>käsitlevad</w:t>
      </w:r>
      <w:r w:rsidRPr="00336E78">
        <w:rPr>
          <w:b/>
        </w:rPr>
        <w:t xml:space="preserve"> </w:t>
      </w:r>
      <w:r w:rsidRPr="00336E78">
        <w:t>eesmärgina konkurentsivõimelist haridust selle  kättesaadavuse ja koolivõrgu aspektist. Elukestva õppe strateegia tegevused kujundavad kvaliteetse hariduse kättesaadavuse tagamiseks vajalikku tõhusat koolivõrku.</w:t>
      </w:r>
    </w:p>
    <w:p w14:paraId="56EE58A5" w14:textId="77777777" w:rsidR="00363D60" w:rsidRPr="00336E78" w:rsidRDefault="00363D60" w:rsidP="00F14A5B">
      <w:pPr>
        <w:jc w:val="both"/>
      </w:pPr>
      <w:r w:rsidRPr="00336E78">
        <w:rPr>
          <w:b/>
        </w:rPr>
        <w:t>Aktiivsena vananemise arengukavas 2013</w:t>
      </w:r>
      <w:r w:rsidRPr="00336E78">
        <w:t>−</w:t>
      </w:r>
      <w:r w:rsidRPr="00336E78">
        <w:rPr>
          <w:b/>
        </w:rPr>
        <w:t xml:space="preserve">2020 </w:t>
      </w:r>
      <w:r w:rsidRPr="00336E78">
        <w:t>on</w:t>
      </w:r>
      <w:r w:rsidRPr="00336E78">
        <w:rPr>
          <w:b/>
        </w:rPr>
        <w:t xml:space="preserve"> </w:t>
      </w:r>
      <w:r w:rsidRPr="00336E78">
        <w:t>seatud</w:t>
      </w:r>
      <w:r w:rsidRPr="00336E78">
        <w:rPr>
          <w:b/>
        </w:rPr>
        <w:t xml:space="preserve"> </w:t>
      </w:r>
      <w:r w:rsidRPr="00336E78">
        <w:t>eesmärk</w:t>
      </w:r>
      <w:r w:rsidRPr="00336E78">
        <w:rPr>
          <w:b/>
        </w:rPr>
        <w:t xml:space="preserve"> </w:t>
      </w:r>
      <w:r w:rsidRPr="00336E78">
        <w:t xml:space="preserve">„Vanemaealised on õpihimulised ja mitmekülgselt aktiivsed õppijad“, millesse panustab kõige otsesemalt elukestva õppe strateegia tegevus 3.6: „Õpivõimaluste loomine vanemaealistele võtmepädevuste arendamiseks ja nende õpivalmiduse suurendamiseks“. Vanemaealiste õppimisaktiivsuse tõus on ka osa üldisest elukestvas õppes osaluse tõusust, millele elukestva õppe strateegias keskendutakse. </w:t>
      </w:r>
    </w:p>
    <w:p w14:paraId="56EE58A6" w14:textId="77777777" w:rsidR="00007E43" w:rsidRPr="00EA48A9" w:rsidRDefault="00007E43" w:rsidP="00007E43">
      <w:pPr>
        <w:rPr>
          <w:b/>
        </w:rPr>
      </w:pPr>
      <w:r w:rsidRPr="00EA48A9">
        <w:rPr>
          <w:b/>
        </w:rPr>
        <w:t>Seosed läbivate teemadega</w:t>
      </w:r>
    </w:p>
    <w:tbl>
      <w:tblPr>
        <w:tblStyle w:val="TableGrid"/>
        <w:tblW w:w="0" w:type="auto"/>
        <w:tblLook w:val="04A0" w:firstRow="1" w:lastRow="0" w:firstColumn="1" w:lastColumn="0" w:noHBand="0" w:noVBand="1"/>
      </w:tblPr>
      <w:tblGrid>
        <w:gridCol w:w="2376"/>
        <w:gridCol w:w="6836"/>
      </w:tblGrid>
      <w:tr w:rsidR="00007E43" w:rsidRPr="001521E6" w14:paraId="56EE58A9" w14:textId="77777777" w:rsidTr="00515C8F">
        <w:tc>
          <w:tcPr>
            <w:tcW w:w="2376" w:type="dxa"/>
          </w:tcPr>
          <w:p w14:paraId="56EE58A7" w14:textId="77777777" w:rsidR="00007E43" w:rsidRPr="001521E6" w:rsidRDefault="00007E43" w:rsidP="00515C8F">
            <w:pPr>
              <w:rPr>
                <w:b/>
              </w:rPr>
            </w:pPr>
            <w:r w:rsidRPr="001521E6">
              <w:rPr>
                <w:b/>
              </w:rPr>
              <w:t xml:space="preserve">Läbivad </w:t>
            </w:r>
            <w:r>
              <w:rPr>
                <w:b/>
              </w:rPr>
              <w:t>teemad</w:t>
            </w:r>
          </w:p>
        </w:tc>
        <w:tc>
          <w:tcPr>
            <w:tcW w:w="6836" w:type="dxa"/>
          </w:tcPr>
          <w:p w14:paraId="56EE58A8" w14:textId="77777777" w:rsidR="00007E43" w:rsidRPr="001521E6" w:rsidRDefault="00007E43" w:rsidP="00515C8F">
            <w:pPr>
              <w:rPr>
                <w:b/>
              </w:rPr>
            </w:pPr>
            <w:r w:rsidRPr="001521E6">
              <w:rPr>
                <w:b/>
              </w:rPr>
              <w:t>Stra</w:t>
            </w:r>
            <w:r>
              <w:rPr>
                <w:b/>
              </w:rPr>
              <w:t>teegia mõju läbivate</w:t>
            </w:r>
            <w:r w:rsidRPr="001521E6">
              <w:rPr>
                <w:b/>
              </w:rPr>
              <w:t xml:space="preserve"> eesmärkide saavutamisel</w:t>
            </w:r>
          </w:p>
        </w:tc>
      </w:tr>
      <w:tr w:rsidR="000F7DF0" w:rsidRPr="00EA48A9" w14:paraId="56EE58AC" w14:textId="77777777" w:rsidTr="00515C8F">
        <w:tc>
          <w:tcPr>
            <w:tcW w:w="2376" w:type="dxa"/>
          </w:tcPr>
          <w:p w14:paraId="56EE58AA" w14:textId="77777777" w:rsidR="000F7DF0" w:rsidRPr="00EA48A9" w:rsidRDefault="000F7DF0" w:rsidP="00515C8F">
            <w:r>
              <w:t>Keskkonnahoid ja kliima</w:t>
            </w:r>
          </w:p>
        </w:tc>
        <w:tc>
          <w:tcPr>
            <w:tcW w:w="6836" w:type="dxa"/>
          </w:tcPr>
          <w:p w14:paraId="56EE58AB" w14:textId="77777777" w:rsidR="000F7DF0" w:rsidRPr="00EA48A9" w:rsidRDefault="000F7DF0" w:rsidP="000F7DF0">
            <w:r>
              <w:t xml:space="preserve">Positiivne: </w:t>
            </w:r>
            <w:r w:rsidRPr="000F7DF0">
              <w:t xml:space="preserve">strateegia </w:t>
            </w:r>
            <w:r>
              <w:t>näeb ette riiklike õppekavade lõimimise</w:t>
            </w:r>
            <w:r w:rsidRPr="000F7DF0">
              <w:t xml:space="preserve"> erin</w:t>
            </w:r>
            <w:r>
              <w:t>evate aine- ja eluvaldkondadega - l</w:t>
            </w:r>
            <w:r w:rsidRPr="000F7DF0">
              <w:t>oodushariduse komponendi lõimimine riiklikesse õppekavadesse toetab nii keskkonnahoidu üldisemalt kui ka aitab vältida ja vähendada jäätmeteket. Samuti nähakse strateegiaga ette meetmete väljatöötamist töötajate ettevalmistamiseks majanduse kasvuvaldkondades. Kuna üheks kasvuvaldkonnaks on ka ressursside efektiivsem kasutamine, aitab see omakorda suurendada loodusressursside kasutamise efektiivsust. Elukestva õppe strateegia näeb ette, et õpikäsitlus toetab väärtushoiakute kujundamist ja seoste loomise oskust ning arendab õppijas loovust, kriitilist mõtlemist, analüüsioskust, ettevõtlikkust, koostöö ning eneseväljenduse oskust, mis on eelduseks vastutuse võtmisele ühiskonna arengu jätkusuutlikkuse tagamiseks,         sh iseseisvaks toimetulekuks muutuvas majandus-, loodus- ja sotsiaalses keskkonnas.</w:t>
            </w:r>
          </w:p>
        </w:tc>
      </w:tr>
      <w:tr w:rsidR="00007E43" w:rsidRPr="00EA48A9" w14:paraId="56EE58AF" w14:textId="77777777" w:rsidTr="00515C8F">
        <w:tc>
          <w:tcPr>
            <w:tcW w:w="2376" w:type="dxa"/>
          </w:tcPr>
          <w:p w14:paraId="56EE58AD" w14:textId="77777777" w:rsidR="00007E43" w:rsidRPr="00EA48A9" w:rsidRDefault="00007E43" w:rsidP="00515C8F">
            <w:r w:rsidRPr="00EA48A9">
              <w:t>Regionaalareng</w:t>
            </w:r>
          </w:p>
        </w:tc>
        <w:tc>
          <w:tcPr>
            <w:tcW w:w="6836" w:type="dxa"/>
          </w:tcPr>
          <w:p w14:paraId="56EE58AE" w14:textId="77777777" w:rsidR="00007E43" w:rsidRPr="00EA48A9" w:rsidRDefault="00007E43" w:rsidP="008F0EB5">
            <w:r w:rsidRPr="00EA48A9">
              <w:t xml:space="preserve">Positiivne: strateegia näeb ette, et demograafilistest muutustest tulenev vajadus korrastada koolivõrku peab olema läbi viidud nii, et </w:t>
            </w:r>
            <w:r w:rsidR="00B36E8D" w:rsidRPr="00EA48A9">
              <w:t xml:space="preserve">igas maakonnas </w:t>
            </w:r>
            <w:r w:rsidRPr="00EA48A9">
              <w:t>säiliks ligipääs kodulähedasele kvaliteetsele põhikoolile ja mitmeid valikuvõimalusi pakkuvale gümnaasiumile.</w:t>
            </w:r>
            <w:r w:rsidR="00416A38">
              <w:t xml:space="preserve"> </w:t>
            </w:r>
            <w:r w:rsidR="008F0EB5">
              <w:t>Strateegia üheks strateegiliseks eesmärgiks on e</w:t>
            </w:r>
            <w:r w:rsidR="00416A38">
              <w:t>lukestvas õppes osalus</w:t>
            </w:r>
            <w:r w:rsidR="008F0EB5">
              <w:t>e</w:t>
            </w:r>
            <w:r w:rsidR="00416A38">
              <w:t xml:space="preserve"> ning erialase  kvalifikatsiooniga ini</w:t>
            </w:r>
            <w:r w:rsidR="008F0EB5">
              <w:t>m</w:t>
            </w:r>
            <w:r w:rsidR="00416A38">
              <w:t xml:space="preserve">este arvu kasv </w:t>
            </w:r>
            <w:r w:rsidR="008F0EB5">
              <w:t xml:space="preserve">Eesti eri regioonides, mis aitab kaasa regionaalselt tasakaalustatumale arengule. </w:t>
            </w:r>
          </w:p>
        </w:tc>
      </w:tr>
      <w:tr w:rsidR="00007E43" w:rsidRPr="00EA48A9" w14:paraId="56EE58B2" w14:textId="77777777" w:rsidTr="00515C8F">
        <w:tc>
          <w:tcPr>
            <w:tcW w:w="2376" w:type="dxa"/>
          </w:tcPr>
          <w:p w14:paraId="56EE58B0" w14:textId="77777777" w:rsidR="00007E43" w:rsidRPr="00EA48A9" w:rsidRDefault="00007E43" w:rsidP="000F7DF0">
            <w:r w:rsidRPr="00EA48A9">
              <w:t xml:space="preserve">Võrdsed võimalused </w:t>
            </w:r>
          </w:p>
        </w:tc>
        <w:tc>
          <w:tcPr>
            <w:tcW w:w="6836" w:type="dxa"/>
          </w:tcPr>
          <w:p w14:paraId="56EE58B1" w14:textId="77777777" w:rsidR="00007E43" w:rsidRPr="00EA48A9" w:rsidRDefault="00007E43" w:rsidP="00415AD5">
            <w:r w:rsidRPr="00EA48A9">
              <w:t>Positiivne: soovitavana nähakse iga õppija individuaalset ja sotsiaalset arengut toetava õpikäsituse rakendamist kõigil haridustasemetel ja õppeliikides. Eraldi tähtsustatakse tegelemist meessoo õpingute katkestamise probleemiga ning kutse</w:t>
            </w:r>
            <w:r w:rsidR="00B36E8D">
              <w:t>-</w:t>
            </w:r>
            <w:r w:rsidRPr="00EA48A9">
              <w:t xml:space="preserve"> ja karjäärinõustamisel pööratakse tähelepanu väljakujunenud sooliste stereotüüpide vältimisele. </w:t>
            </w:r>
          </w:p>
        </w:tc>
      </w:tr>
      <w:tr w:rsidR="00007E43" w:rsidRPr="00EA48A9" w14:paraId="56EE58B5" w14:textId="77777777" w:rsidTr="00515C8F">
        <w:tc>
          <w:tcPr>
            <w:tcW w:w="2376" w:type="dxa"/>
          </w:tcPr>
          <w:p w14:paraId="56EE58B3" w14:textId="77777777" w:rsidR="00007E43" w:rsidRPr="00EA48A9" w:rsidRDefault="00007E43" w:rsidP="00515C8F">
            <w:r w:rsidRPr="00EA48A9">
              <w:t>Infoühiskon</w:t>
            </w:r>
            <w:r w:rsidR="000F7DF0">
              <w:t>d</w:t>
            </w:r>
          </w:p>
        </w:tc>
        <w:tc>
          <w:tcPr>
            <w:tcW w:w="6836" w:type="dxa"/>
          </w:tcPr>
          <w:p w14:paraId="56EE58B4" w14:textId="77777777" w:rsidR="00007E43" w:rsidRPr="00EA48A9" w:rsidRDefault="00007E43" w:rsidP="00515C8F">
            <w:r w:rsidRPr="00EA48A9">
              <w:t>Positiivne: toetatakse uue õpikäsituse rakendamist kaasaegse digitehnoloogia abil ning õppijatele ligipääsu tagamist digitaristule.</w:t>
            </w:r>
            <w:r w:rsidR="00444D51">
              <w:t xml:space="preserve"> </w:t>
            </w:r>
            <w:r w:rsidR="00444D51" w:rsidRPr="00444D51">
              <w:t>Strateegia oma mõju kõigi elanike IKT-oskuste omandamisele, vähendab digitaalset lõhet erinevate sotsiaalsete gruppide vahel, digioskuste kasv parandab  e-riigi teenuste kättesaadavus ning suurendab inimeste konkurentsivõimet tööturul ja isikliku heaolu kasvatamist.</w:t>
            </w:r>
          </w:p>
        </w:tc>
      </w:tr>
      <w:tr w:rsidR="00007E43" w:rsidRPr="00EA48A9" w14:paraId="56EE58B8" w14:textId="77777777" w:rsidTr="00515C8F">
        <w:tc>
          <w:tcPr>
            <w:tcW w:w="2376" w:type="dxa"/>
          </w:tcPr>
          <w:p w14:paraId="56EE58B6" w14:textId="77777777" w:rsidR="00007E43" w:rsidRPr="00EA48A9" w:rsidRDefault="00007E43" w:rsidP="00515C8F">
            <w:r w:rsidRPr="00EA48A9">
              <w:t>Riigivalitsemi</w:t>
            </w:r>
            <w:r w:rsidR="000F7DF0">
              <w:t>ne</w:t>
            </w:r>
          </w:p>
        </w:tc>
        <w:tc>
          <w:tcPr>
            <w:tcW w:w="6836" w:type="dxa"/>
          </w:tcPr>
          <w:p w14:paraId="56EE58B7" w14:textId="77777777" w:rsidR="00007E43" w:rsidRPr="00EA48A9" w:rsidRDefault="00007E43" w:rsidP="00515C8F">
            <w:r w:rsidRPr="00EA48A9">
              <w:t xml:space="preserve">Positiivne: strateegia näeb ette senisest tõhusamad koostöömehhanismid tööturu alase informatsiooni koondamiseks. </w:t>
            </w:r>
          </w:p>
        </w:tc>
      </w:tr>
    </w:tbl>
    <w:p w14:paraId="56EE58B9" w14:textId="77777777" w:rsidR="00196493" w:rsidRDefault="00196493"/>
    <w:p w14:paraId="56EE58BA" w14:textId="77777777" w:rsidR="000E1272" w:rsidRDefault="000E1272">
      <w:pPr>
        <w:rPr>
          <w:rFonts w:asciiTheme="majorHAnsi" w:eastAsiaTheme="majorEastAsia" w:hAnsiTheme="majorHAnsi" w:cstheme="majorBidi"/>
          <w:b/>
          <w:bCs/>
          <w:color w:val="365F91" w:themeColor="accent1" w:themeShade="BF"/>
          <w:sz w:val="28"/>
          <w:szCs w:val="28"/>
        </w:rPr>
      </w:pPr>
      <w:r>
        <w:br w:type="page"/>
      </w:r>
      <w:r w:rsidR="00B36E8D">
        <w:t xml:space="preserve"> </w:t>
      </w:r>
    </w:p>
    <w:p w14:paraId="56EE58BB" w14:textId="77777777" w:rsidR="00196493" w:rsidRPr="00196493" w:rsidRDefault="00196493" w:rsidP="00196493">
      <w:pPr>
        <w:pStyle w:val="Heading1"/>
      </w:pPr>
      <w:bookmarkStart w:id="15" w:name="_Toc376952256"/>
      <w:r w:rsidRPr="00196493">
        <w:t xml:space="preserve">Lisa </w:t>
      </w:r>
      <w:r w:rsidR="007554C8">
        <w:t>4</w:t>
      </w:r>
      <w:r w:rsidR="00B36E8D">
        <w:t>.</w:t>
      </w:r>
      <w:r w:rsidRPr="00196493">
        <w:t xml:space="preserve"> </w:t>
      </w:r>
      <w:r w:rsidR="005A60C7">
        <w:t>Strateegia maksumuse prognoos</w:t>
      </w:r>
      <w:bookmarkEnd w:id="15"/>
    </w:p>
    <w:p w14:paraId="56EE58BC" w14:textId="77777777" w:rsidR="00196493" w:rsidRPr="00196493" w:rsidRDefault="00196493" w:rsidP="00196493">
      <w:pPr>
        <w:contextualSpacing/>
        <w:jc w:val="both"/>
      </w:pPr>
    </w:p>
    <w:p w14:paraId="56EE58BD" w14:textId="77777777" w:rsidR="005A60C7" w:rsidRPr="003C255C" w:rsidRDefault="005A60C7" w:rsidP="005A60C7">
      <w:pPr>
        <w:spacing w:after="0" w:line="240" w:lineRule="auto"/>
        <w:rPr>
          <w:rFonts w:ascii="Calibri" w:hAnsi="Calibri" w:cs="Times New Roman"/>
        </w:rPr>
      </w:pPr>
    </w:p>
    <w:tbl>
      <w:tblPr>
        <w:tblW w:w="9591" w:type="dxa"/>
        <w:tblInd w:w="-23" w:type="dxa"/>
        <w:tblCellMar>
          <w:left w:w="0" w:type="dxa"/>
          <w:right w:w="0" w:type="dxa"/>
        </w:tblCellMar>
        <w:tblLook w:val="04A0" w:firstRow="1" w:lastRow="0" w:firstColumn="1" w:lastColumn="0" w:noHBand="0" w:noVBand="1"/>
      </w:tblPr>
      <w:tblGrid>
        <w:gridCol w:w="3212"/>
        <w:gridCol w:w="992"/>
        <w:gridCol w:w="992"/>
        <w:gridCol w:w="993"/>
        <w:gridCol w:w="992"/>
        <w:gridCol w:w="1276"/>
        <w:gridCol w:w="1134"/>
      </w:tblGrid>
      <w:tr w:rsidR="005A60C7" w:rsidRPr="003C255C" w14:paraId="56EE58C5" w14:textId="77777777" w:rsidTr="005A60C7">
        <w:trPr>
          <w:trHeight w:val="302"/>
        </w:trPr>
        <w:tc>
          <w:tcPr>
            <w:tcW w:w="321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BE" w14:textId="77777777" w:rsidR="005A60C7" w:rsidRPr="003C255C" w:rsidRDefault="005A60C7" w:rsidP="00743FA4">
            <w:pPr>
              <w:spacing w:after="0" w:line="240" w:lineRule="auto"/>
              <w:rPr>
                <w:rFonts w:ascii="Calibri" w:hAnsi="Calibri" w:cs="Times New Roman"/>
                <w:b/>
                <w:bCs/>
                <w:color w:val="000000"/>
                <w:lang w:eastAsia="et-EE"/>
              </w:rPr>
            </w:pPr>
            <w:r w:rsidRPr="003C255C">
              <w:rPr>
                <w:rFonts w:ascii="Calibri" w:hAnsi="Calibri" w:cs="Times New Roman"/>
                <w:b/>
                <w:bCs/>
                <w:color w:val="000000"/>
                <w:lang w:eastAsia="et-EE"/>
              </w:rPr>
              <w:t>Meede</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BF" w14:textId="77777777" w:rsidR="005A60C7" w:rsidRPr="003C255C" w:rsidRDefault="005A60C7" w:rsidP="00743FA4">
            <w:pPr>
              <w:spacing w:after="0" w:line="240" w:lineRule="auto"/>
              <w:jc w:val="center"/>
              <w:rPr>
                <w:rFonts w:ascii="Calibri" w:hAnsi="Calibri" w:cs="Times New Roman"/>
                <w:b/>
                <w:bCs/>
                <w:color w:val="000000"/>
                <w:lang w:eastAsia="et-EE"/>
              </w:rPr>
            </w:pPr>
            <w:r w:rsidRPr="003C255C">
              <w:rPr>
                <w:rFonts w:ascii="Calibri" w:hAnsi="Calibri" w:cs="Times New Roman"/>
                <w:b/>
                <w:bCs/>
                <w:color w:val="000000"/>
                <w:lang w:eastAsia="et-EE"/>
              </w:rPr>
              <w:t>2014</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C0" w14:textId="77777777" w:rsidR="005A60C7" w:rsidRPr="003C255C" w:rsidRDefault="005A60C7" w:rsidP="00743FA4">
            <w:pPr>
              <w:spacing w:after="0" w:line="240" w:lineRule="auto"/>
              <w:jc w:val="center"/>
              <w:rPr>
                <w:rFonts w:ascii="Calibri" w:hAnsi="Calibri" w:cs="Times New Roman"/>
                <w:b/>
                <w:bCs/>
                <w:color w:val="000000"/>
                <w:lang w:eastAsia="et-EE"/>
              </w:rPr>
            </w:pPr>
            <w:r w:rsidRPr="003C255C">
              <w:rPr>
                <w:rFonts w:ascii="Calibri" w:hAnsi="Calibri" w:cs="Times New Roman"/>
                <w:b/>
                <w:bCs/>
                <w:color w:val="000000"/>
                <w:lang w:eastAsia="et-EE"/>
              </w:rPr>
              <w:t>2015</w:t>
            </w:r>
          </w:p>
        </w:tc>
        <w:tc>
          <w:tcPr>
            <w:tcW w:w="99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C1" w14:textId="77777777" w:rsidR="005A60C7" w:rsidRPr="003C255C" w:rsidRDefault="005A60C7" w:rsidP="00743FA4">
            <w:pPr>
              <w:spacing w:after="0" w:line="240" w:lineRule="auto"/>
              <w:jc w:val="center"/>
              <w:rPr>
                <w:rFonts w:ascii="Calibri" w:hAnsi="Calibri" w:cs="Times New Roman"/>
                <w:b/>
                <w:bCs/>
                <w:color w:val="000000"/>
                <w:lang w:eastAsia="et-EE"/>
              </w:rPr>
            </w:pPr>
            <w:r w:rsidRPr="003C255C">
              <w:rPr>
                <w:rFonts w:ascii="Calibri" w:hAnsi="Calibri" w:cs="Times New Roman"/>
                <w:b/>
                <w:bCs/>
                <w:color w:val="000000"/>
                <w:lang w:eastAsia="et-EE"/>
              </w:rPr>
              <w:t>2016</w:t>
            </w:r>
          </w:p>
        </w:tc>
        <w:tc>
          <w:tcPr>
            <w:tcW w:w="99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C2" w14:textId="77777777" w:rsidR="005A60C7" w:rsidRPr="003C255C" w:rsidRDefault="005A60C7" w:rsidP="00743FA4">
            <w:pPr>
              <w:spacing w:after="0" w:line="240" w:lineRule="auto"/>
              <w:jc w:val="center"/>
              <w:rPr>
                <w:rFonts w:ascii="Calibri" w:hAnsi="Calibri" w:cs="Times New Roman"/>
                <w:b/>
                <w:bCs/>
                <w:color w:val="000000"/>
                <w:lang w:eastAsia="et-EE"/>
              </w:rPr>
            </w:pPr>
            <w:r w:rsidRPr="003C255C">
              <w:rPr>
                <w:rFonts w:ascii="Calibri" w:hAnsi="Calibri" w:cs="Times New Roman"/>
                <w:b/>
                <w:bCs/>
                <w:color w:val="000000"/>
                <w:lang w:eastAsia="et-EE"/>
              </w:rPr>
              <w:t>2017</w:t>
            </w:r>
          </w:p>
        </w:tc>
        <w:tc>
          <w:tcPr>
            <w:tcW w:w="12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C3" w14:textId="77777777" w:rsidR="005A60C7" w:rsidRPr="003C255C" w:rsidRDefault="005A60C7" w:rsidP="00743FA4">
            <w:pPr>
              <w:spacing w:after="0" w:line="240" w:lineRule="auto"/>
              <w:jc w:val="center"/>
              <w:rPr>
                <w:rFonts w:ascii="Calibri" w:hAnsi="Calibri" w:cs="Times New Roman"/>
                <w:b/>
                <w:bCs/>
                <w:color w:val="000000"/>
                <w:lang w:eastAsia="et-EE"/>
              </w:rPr>
            </w:pPr>
            <w:r w:rsidRPr="003C255C">
              <w:rPr>
                <w:rFonts w:ascii="Calibri" w:hAnsi="Calibri" w:cs="Times New Roman"/>
                <w:b/>
                <w:bCs/>
                <w:color w:val="000000"/>
                <w:lang w:eastAsia="et-EE"/>
              </w:rPr>
              <w:t>2018-2020</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E58C4" w14:textId="77777777" w:rsidR="005A60C7" w:rsidRPr="003C255C" w:rsidRDefault="005A60C7" w:rsidP="00743FA4">
            <w:pPr>
              <w:spacing w:after="0" w:line="240" w:lineRule="auto"/>
              <w:jc w:val="center"/>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KOKKU</w:t>
            </w:r>
          </w:p>
        </w:tc>
      </w:tr>
      <w:tr w:rsidR="005A60C7" w:rsidRPr="003C255C" w14:paraId="56EE58CD"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6" w14:textId="77777777" w:rsidR="005A60C7" w:rsidRPr="005A60C7" w:rsidRDefault="005A60C7" w:rsidP="00DF3352">
            <w:pPr>
              <w:spacing w:after="0" w:line="240" w:lineRule="auto"/>
            </w:pPr>
            <w:r w:rsidRPr="005A60C7">
              <w:t xml:space="preserve">1. </w:t>
            </w:r>
            <w:r w:rsidR="00DF3352">
              <w:t>Muutunud õpikäsitus</w:t>
            </w:r>
            <w:r w:rsidRPr="005A60C7">
              <w:t xml:space="preserve"> </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7"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150,1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8"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155,4</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9"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159,7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A"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161,7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E58CB"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485,0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C"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1 111,8</w:t>
            </w:r>
          </w:p>
        </w:tc>
      </w:tr>
      <w:tr w:rsidR="005A60C7" w:rsidRPr="003C255C" w14:paraId="56EE58D5"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56EE58CE" w14:textId="77777777" w:rsidR="005A60C7" w:rsidRPr="005A60C7" w:rsidRDefault="005A60C7" w:rsidP="00DF3352">
            <w:pPr>
              <w:spacing w:after="0" w:line="240" w:lineRule="auto"/>
            </w:pPr>
            <w:r w:rsidRPr="005A60C7">
              <w:t xml:space="preserve">2. Pädevad ja motiveeritud õpetajad </w:t>
            </w:r>
            <w:r w:rsidR="00DF3352">
              <w:t>ning kooli</w:t>
            </w:r>
            <w:r w:rsidRPr="005A60C7">
              <w:t xml:space="preserve">juhid </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CF"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338,1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0"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354,5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1"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360,1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2"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367,6</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E58D3"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1 102,8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4"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2 523,1</w:t>
            </w:r>
          </w:p>
        </w:tc>
      </w:tr>
      <w:tr w:rsidR="005A60C7" w:rsidRPr="003C255C" w14:paraId="56EE58DD"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56EE58D6" w14:textId="77777777" w:rsidR="005A60C7" w:rsidRPr="005A60C7" w:rsidRDefault="005A60C7" w:rsidP="00DF3352">
            <w:pPr>
              <w:spacing w:after="0" w:line="240" w:lineRule="auto"/>
            </w:pPr>
            <w:r w:rsidRPr="005A60C7">
              <w:t xml:space="preserve">3. Elukestva õppe </w:t>
            </w:r>
            <w:r w:rsidR="00DF3352">
              <w:t xml:space="preserve">võimaluste </w:t>
            </w:r>
            <w:r w:rsidRPr="005A60C7">
              <w:t xml:space="preserve">ja </w:t>
            </w:r>
            <w:r w:rsidR="00DF3352">
              <w:t>töömaailma vajaduste</w:t>
            </w:r>
            <w:r w:rsidR="00DF3352" w:rsidRPr="005A60C7">
              <w:t xml:space="preserve"> </w:t>
            </w:r>
            <w:r w:rsidRPr="005A60C7">
              <w:t>vastavus</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7"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311,1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8"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290,1</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9"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295,8</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A"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298,9</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E58DB"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894,8</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C"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2 090,8</w:t>
            </w:r>
          </w:p>
        </w:tc>
      </w:tr>
      <w:tr w:rsidR="005A60C7" w:rsidRPr="003C255C" w14:paraId="56EE58E5"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E" w14:textId="77777777" w:rsidR="005A60C7" w:rsidRPr="005A60C7" w:rsidRDefault="005A60C7" w:rsidP="00DF3352">
            <w:pPr>
              <w:spacing w:after="0" w:line="240" w:lineRule="auto"/>
            </w:pPr>
            <w:r w:rsidRPr="005A60C7">
              <w:t xml:space="preserve">4. </w:t>
            </w:r>
            <w:r w:rsidR="00DF3352">
              <w:t>Digipööre elukestvas õppes</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DF"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248,2</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0"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242,0</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1"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249,7</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2"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252,0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E58E3"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756,0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4"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1 747,9</w:t>
            </w:r>
          </w:p>
        </w:tc>
      </w:tr>
      <w:tr w:rsidR="005A60C7" w:rsidRPr="003C255C" w14:paraId="56EE58ED"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6" w14:textId="77777777" w:rsidR="005A60C7" w:rsidRPr="005A60C7" w:rsidRDefault="005A60C7" w:rsidP="00DF3352">
            <w:pPr>
              <w:spacing w:after="0" w:line="240" w:lineRule="auto"/>
            </w:pPr>
            <w:r w:rsidRPr="005A60C7">
              <w:t xml:space="preserve">5. Õppes osaluse kasv ja tulemuslik </w:t>
            </w:r>
            <w:r w:rsidR="00DF3352">
              <w:t>ressursikasutus</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7"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127,0</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8"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125,3</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9"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129,1</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A"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130,2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E58EB" w14:textId="77777777" w:rsidR="005A60C7" w:rsidRPr="003C255C" w:rsidRDefault="005A60C7" w:rsidP="00743FA4">
            <w:pPr>
              <w:spacing w:after="0" w:line="240" w:lineRule="auto"/>
              <w:jc w:val="right"/>
              <w:rPr>
                <w:rFonts w:ascii="Calibri" w:hAnsi="Calibri" w:cs="Times New Roman"/>
                <w:color w:val="000000"/>
                <w:lang w:eastAsia="et-EE"/>
              </w:rPr>
            </w:pPr>
            <w:r w:rsidRPr="003C255C">
              <w:rPr>
                <w:rFonts w:ascii="Calibri" w:hAnsi="Calibri" w:cs="Times New Roman"/>
                <w:color w:val="000000"/>
                <w:lang w:eastAsia="et-EE"/>
              </w:rPr>
              <w:t>389,2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C"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900,7</w:t>
            </w:r>
          </w:p>
        </w:tc>
      </w:tr>
      <w:tr w:rsidR="005A60C7" w:rsidRPr="003C255C" w14:paraId="56EE58F5" w14:textId="77777777" w:rsidTr="005A60C7">
        <w:trPr>
          <w:trHeight w:val="302"/>
        </w:trPr>
        <w:tc>
          <w:tcPr>
            <w:tcW w:w="32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E" w14:textId="77777777" w:rsidR="005A60C7" w:rsidRPr="003C255C" w:rsidRDefault="005A60C7" w:rsidP="00743FA4">
            <w:pPr>
              <w:spacing w:after="0" w:line="240" w:lineRule="auto"/>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KOKKU</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EF"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1 174,5</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F0"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1 167,2</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F1"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1 194,3</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F2"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1 210,3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F3"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3 627,9</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EE58F4" w14:textId="77777777" w:rsidR="005A60C7" w:rsidRPr="003C255C" w:rsidRDefault="005A60C7" w:rsidP="00743FA4">
            <w:pPr>
              <w:spacing w:after="0" w:line="240" w:lineRule="auto"/>
              <w:jc w:val="right"/>
              <w:rPr>
                <w:rFonts w:ascii="Calibri" w:hAnsi="Calibri" w:cs="Times New Roman"/>
                <w:b/>
                <w:bCs/>
                <w:color w:val="000000"/>
                <w:sz w:val="24"/>
                <w:szCs w:val="24"/>
                <w:lang w:eastAsia="et-EE"/>
              </w:rPr>
            </w:pPr>
            <w:r w:rsidRPr="003C255C">
              <w:rPr>
                <w:rFonts w:ascii="Calibri" w:hAnsi="Calibri" w:cs="Times New Roman"/>
                <w:b/>
                <w:bCs/>
                <w:color w:val="000000"/>
                <w:sz w:val="24"/>
                <w:szCs w:val="24"/>
                <w:lang w:eastAsia="et-EE"/>
              </w:rPr>
              <w:t>8 374,3</w:t>
            </w:r>
          </w:p>
        </w:tc>
      </w:tr>
    </w:tbl>
    <w:p w14:paraId="56EE58F6" w14:textId="77777777" w:rsidR="005A60C7" w:rsidRDefault="005A60C7" w:rsidP="005A60C7">
      <w:pPr>
        <w:spacing w:after="0" w:line="240" w:lineRule="auto"/>
        <w:rPr>
          <w:rFonts w:ascii="Calibri" w:hAnsi="Calibri" w:cs="Times New Roman"/>
          <w:sz w:val="23"/>
          <w:szCs w:val="23"/>
        </w:rPr>
      </w:pPr>
    </w:p>
    <w:p w14:paraId="56EE58F7" w14:textId="77777777" w:rsidR="004C4EE2" w:rsidRPr="000E1272" w:rsidRDefault="004C4EE2" w:rsidP="004C4EE2">
      <w:pPr>
        <w:pStyle w:val="EndnoteText"/>
        <w:rPr>
          <w:sz w:val="22"/>
          <w:szCs w:val="22"/>
        </w:rPr>
      </w:pPr>
      <w:r w:rsidRPr="000E1272">
        <w:rPr>
          <w:sz w:val="22"/>
          <w:szCs w:val="22"/>
        </w:rPr>
        <w:t>Valitsussektori hariduskulude prognoos lähtub tänastest otsustest. Prognoosis on toodud indikatiivsed maksumused miljonites eurodes. Vajadusel taotletakse strateegia elluviimiseks täiendava</w:t>
      </w:r>
      <w:r w:rsidR="00B36E8D">
        <w:rPr>
          <w:sz w:val="22"/>
          <w:szCs w:val="22"/>
        </w:rPr>
        <w:t>i</w:t>
      </w:r>
      <w:r w:rsidRPr="000E1272">
        <w:rPr>
          <w:sz w:val="22"/>
          <w:szCs w:val="22"/>
        </w:rPr>
        <w:t>d vahend</w:t>
      </w:r>
      <w:r w:rsidR="00B36E8D">
        <w:rPr>
          <w:sz w:val="22"/>
          <w:szCs w:val="22"/>
        </w:rPr>
        <w:t>e</w:t>
      </w:r>
      <w:r w:rsidRPr="000E1272">
        <w:rPr>
          <w:sz w:val="22"/>
          <w:szCs w:val="22"/>
        </w:rPr>
        <w:t xml:space="preserve">id </w:t>
      </w:r>
      <w:r w:rsidR="00B36E8D" w:rsidRPr="000E1272">
        <w:rPr>
          <w:sz w:val="22"/>
          <w:szCs w:val="22"/>
        </w:rPr>
        <w:t>järg</w:t>
      </w:r>
      <w:r w:rsidR="00B36E8D">
        <w:rPr>
          <w:sz w:val="22"/>
          <w:szCs w:val="22"/>
        </w:rPr>
        <w:t>mis</w:t>
      </w:r>
      <w:r w:rsidR="00B36E8D" w:rsidRPr="000E1272">
        <w:rPr>
          <w:sz w:val="22"/>
          <w:szCs w:val="22"/>
        </w:rPr>
        <w:t xml:space="preserve">te </w:t>
      </w:r>
      <w:r w:rsidRPr="000E1272">
        <w:rPr>
          <w:sz w:val="22"/>
          <w:szCs w:val="22"/>
        </w:rPr>
        <w:t>riigi eelarvestrateegiate koostamise raames.</w:t>
      </w:r>
    </w:p>
    <w:p w14:paraId="56EE58F8" w14:textId="77777777" w:rsidR="005A60C7" w:rsidRDefault="005A60C7" w:rsidP="005A60C7">
      <w:pPr>
        <w:pStyle w:val="EndnoteText"/>
      </w:pPr>
    </w:p>
    <w:p w14:paraId="56EE58F9" w14:textId="77777777" w:rsidR="0063042E" w:rsidRPr="001E4E63" w:rsidRDefault="0063042E" w:rsidP="00196493">
      <w:pPr>
        <w:ind w:left="360"/>
        <w:contextualSpacing/>
        <w:jc w:val="both"/>
      </w:pPr>
    </w:p>
    <w:sectPr w:rsidR="0063042E" w:rsidRPr="001E4E63" w:rsidSect="000B77A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39DCF" w14:textId="77777777" w:rsidR="00097F72" w:rsidRDefault="00097F72" w:rsidP="00B03696">
      <w:pPr>
        <w:spacing w:after="0" w:line="240" w:lineRule="auto"/>
      </w:pPr>
      <w:r>
        <w:separator/>
      </w:r>
    </w:p>
  </w:endnote>
  <w:endnote w:type="continuationSeparator" w:id="0">
    <w:p w14:paraId="48C6A4E0" w14:textId="77777777" w:rsidR="00097F72" w:rsidRDefault="00097F72" w:rsidP="00B0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Bold">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10022FF" w:usb1="C000E47F" w:usb2="00000029" w:usb3="00000000" w:csb0="000001DF" w:csb1="00000000"/>
  </w:font>
  <w:font w:name="Trebuchet MS">
    <w:panose1 w:val="020B0603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89008"/>
      <w:docPartObj>
        <w:docPartGallery w:val="Page Numbers (Bottom of Page)"/>
        <w:docPartUnique/>
      </w:docPartObj>
    </w:sdtPr>
    <w:sdtEndPr/>
    <w:sdtContent>
      <w:p w14:paraId="56EE5902" w14:textId="77777777" w:rsidR="0035250E" w:rsidRDefault="0035250E">
        <w:pPr>
          <w:pStyle w:val="Footer"/>
          <w:jc w:val="right"/>
        </w:pPr>
        <w:r>
          <w:fldChar w:fldCharType="begin"/>
        </w:r>
        <w:r>
          <w:instrText>PAGE   \* MERGEFORMAT</w:instrText>
        </w:r>
        <w:r>
          <w:fldChar w:fldCharType="separate"/>
        </w:r>
        <w:r w:rsidR="00843733">
          <w:rPr>
            <w:noProof/>
          </w:rPr>
          <w:t>4</w:t>
        </w:r>
        <w:r>
          <w:fldChar w:fldCharType="end"/>
        </w:r>
      </w:p>
    </w:sdtContent>
  </w:sdt>
  <w:p w14:paraId="56EE5903" w14:textId="77777777" w:rsidR="0035250E" w:rsidRDefault="0035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39A8" w14:textId="77777777" w:rsidR="00097F72" w:rsidRDefault="00097F72" w:rsidP="00B03696">
      <w:pPr>
        <w:spacing w:after="0" w:line="240" w:lineRule="auto"/>
      </w:pPr>
      <w:r>
        <w:separator/>
      </w:r>
    </w:p>
  </w:footnote>
  <w:footnote w:type="continuationSeparator" w:id="0">
    <w:p w14:paraId="4FAA5511" w14:textId="77777777" w:rsidR="00097F72" w:rsidRDefault="00097F72" w:rsidP="00B03696">
      <w:pPr>
        <w:spacing w:after="0" w:line="240" w:lineRule="auto"/>
      </w:pPr>
      <w:r>
        <w:continuationSeparator/>
      </w:r>
    </w:p>
  </w:footnote>
  <w:footnote w:id="1">
    <w:p w14:paraId="56EE5904" w14:textId="77777777" w:rsidR="0035250E" w:rsidRDefault="0035250E" w:rsidP="00E11356">
      <w:pPr>
        <w:pStyle w:val="FootnoteText"/>
      </w:pPr>
      <w:r>
        <w:rPr>
          <w:rStyle w:val="FootnoteReference"/>
        </w:rPr>
        <w:footnoteRef/>
      </w:r>
      <w:r>
        <w:t xml:space="preserve"> PISA 2006, 2009 ja 2012, PIAAC 2013</w:t>
      </w:r>
    </w:p>
  </w:footnote>
  <w:footnote w:id="2">
    <w:p w14:paraId="56EE5905" w14:textId="77777777" w:rsidR="0035250E" w:rsidRDefault="0035250E" w:rsidP="0035250E">
      <w:pPr>
        <w:pStyle w:val="FootnoteText"/>
        <w:jc w:val="both"/>
      </w:pPr>
      <w:r>
        <w:rPr>
          <w:rStyle w:val="FootnoteReference"/>
        </w:rPr>
        <w:footnoteRef/>
      </w:r>
      <w:r>
        <w:t xml:space="preserve"> </w:t>
      </w:r>
      <w:r w:rsidRPr="0035250E">
        <w:t>Elukestva õppe strateegial on oluline roll konkurentsivõime kava „Eesti 2020“ üldeesmärkide saavutamisel - tootlikkuse parandamisele  ja tööhõive suurendamisele on otseselt suunatud mitmed 3. ja 5. strateegilise eesmärgi meetmed ja tegevused, kaudsemalt kõik strateegili</w:t>
      </w:r>
      <w:r>
        <w:t>sed eesmärgid. Kolm esimest võtmenäitajat kattuvad konkurentsivõime kava „Eesti 2020“ põhieesmärkidega ning esimene ja kolmas võtmenäitaja kattuvad Vabariigi Valitsuse tegevusprogrammi näitajatega.</w:t>
      </w:r>
    </w:p>
  </w:footnote>
  <w:footnote w:id="3">
    <w:p w14:paraId="56EE5906" w14:textId="77777777" w:rsidR="0035250E" w:rsidRDefault="0035250E" w:rsidP="00433A8B">
      <w:pPr>
        <w:pStyle w:val="FootnoteText"/>
      </w:pPr>
      <w:r>
        <w:rPr>
          <w:rStyle w:val="FootnoteReference"/>
        </w:rPr>
        <w:footnoteRef/>
      </w:r>
      <w:r>
        <w:t xml:space="preserve"> </w:t>
      </w:r>
      <w:r>
        <w:t>PISA 5. ja 6. taseme saavutanud õppijate osakaal, sihttaset mõõdetakse 2018. aastal PISA testis.</w:t>
      </w:r>
    </w:p>
  </w:footnote>
  <w:footnote w:id="4">
    <w:p w14:paraId="56EE5907" w14:textId="77777777" w:rsidR="0035250E" w:rsidRDefault="0035250E" w:rsidP="00433A8B">
      <w:pPr>
        <w:pStyle w:val="FootnoteText"/>
      </w:pPr>
      <w:r>
        <w:rPr>
          <w:rStyle w:val="FootnoteReference"/>
        </w:rPr>
        <w:footnoteRef/>
      </w:r>
      <w:r>
        <w:t xml:space="preserve"> </w:t>
      </w:r>
      <w:r>
        <w:t xml:space="preserve">Siiani pole tehtud regulaarseid rahuloluuuringuid õppe kvaliteedi ja kättesaadavuse kohta eri sihtrühmade hulgas. Seetõttu ei esitata ka soovitavat sihttaset ega algtaset. </w:t>
      </w:r>
    </w:p>
  </w:footnote>
  <w:footnote w:id="5">
    <w:p w14:paraId="56EE5908" w14:textId="77777777" w:rsidR="0035250E" w:rsidRDefault="0035250E" w:rsidP="00E47CAF">
      <w:pPr>
        <w:pStyle w:val="FootnoteText"/>
      </w:pPr>
      <w:r>
        <w:rPr>
          <w:rStyle w:val="FootnoteReference"/>
        </w:rPr>
        <w:footnoteRef/>
      </w:r>
      <w:r>
        <w:t xml:space="preserve"> </w:t>
      </w:r>
      <w:r>
        <w:t xml:space="preserve">Ülevaade kasutatud indikaatorite dünaamikast on esitatud tabelis lisas 1. </w:t>
      </w:r>
    </w:p>
  </w:footnote>
  <w:footnote w:id="6">
    <w:p w14:paraId="56EE5909" w14:textId="77777777" w:rsidR="0035250E" w:rsidRDefault="0035250E" w:rsidP="00B03696">
      <w:pPr>
        <w:pStyle w:val="FootnoteText"/>
      </w:pPr>
      <w:r>
        <w:rPr>
          <w:rStyle w:val="FootnoteReference"/>
        </w:rPr>
        <w:footnoteRef/>
      </w:r>
      <w:r>
        <w:t xml:space="preserve"> </w:t>
      </w:r>
      <w:r>
        <w:t>„</w:t>
      </w:r>
      <w:r w:rsidRPr="00AC01E8">
        <w:t>Eesti PISA 2009 kontekstis: tugevused ja probleemid. Programmi Eduko uuringutoetuse kasutamise lepingu aruanne 2012</w:t>
      </w:r>
      <w:r>
        <w:t xml:space="preserve">“, </w:t>
      </w:r>
      <w:r w:rsidRPr="00AC01E8">
        <w:t>http://www.hm.ee/index.php?048181</w:t>
      </w:r>
      <w:r>
        <w:t>.</w:t>
      </w:r>
    </w:p>
  </w:footnote>
  <w:footnote w:id="7">
    <w:p w14:paraId="56EE590A" w14:textId="77777777" w:rsidR="0035250E" w:rsidRDefault="0035250E" w:rsidP="00B03696">
      <w:pPr>
        <w:pStyle w:val="FootnoteText"/>
      </w:pPr>
      <w:r>
        <w:rPr>
          <w:rStyle w:val="FootnoteReference"/>
        </w:rPr>
        <w:footnoteRef/>
      </w:r>
      <w:r>
        <w:t xml:space="preserve"> </w:t>
      </w:r>
      <w:r>
        <w:t>„H</w:t>
      </w:r>
      <w:r w:rsidRPr="00C01DA1">
        <w:t>ilise keelekümbluse mõju. Uuringu tulemuste aruanne</w:t>
      </w:r>
      <w:r>
        <w:t xml:space="preserve">“, </w:t>
      </w:r>
      <w:hyperlink r:id="rId1" w:history="1">
        <w:r>
          <w:rPr>
            <w:rStyle w:val="Hyperlink"/>
            <w:rFonts w:ascii="Trebuchet MS" w:hAnsi="Trebuchet MS"/>
            <w:sz w:val="18"/>
            <w:szCs w:val="18"/>
          </w:rPr>
          <w:t>http://www.hm.ee/index.php?048181</w:t>
        </w:r>
      </w:hyperlink>
    </w:p>
  </w:footnote>
  <w:footnote w:id="8">
    <w:p w14:paraId="56EE590B" w14:textId="77777777" w:rsidR="0035250E" w:rsidRDefault="0035250E" w:rsidP="00B03696">
      <w:pPr>
        <w:pStyle w:val="FootnoteText"/>
      </w:pPr>
      <w:r>
        <w:rPr>
          <w:rStyle w:val="FootnoteReference"/>
        </w:rPr>
        <w:footnoteRef/>
      </w:r>
      <w:r>
        <w:t xml:space="preserve"> </w:t>
      </w:r>
      <w:r>
        <w:t>„</w:t>
      </w:r>
      <w:r w:rsidRPr="00AC01E8">
        <w:t>OECD rahvusvahelise õpetamise ja õppimise uuringu TALIS tulemused</w:t>
      </w:r>
      <w:r>
        <w:t xml:space="preserve">“, </w:t>
      </w:r>
      <w:hyperlink r:id="rId2" w:history="1">
        <w:r w:rsidRPr="003B37BC">
          <w:rPr>
            <w:rStyle w:val="Hyperlink"/>
          </w:rPr>
          <w:t>http://www.hm.ee/index.php?048181</w:t>
        </w:r>
      </w:hyperlink>
    </w:p>
    <w:p w14:paraId="56EE590C" w14:textId="77777777" w:rsidR="0035250E" w:rsidRDefault="0035250E" w:rsidP="00B03696">
      <w:pPr>
        <w:pStyle w:val="FootnoteText"/>
      </w:pPr>
      <w:r>
        <w:t>„</w:t>
      </w:r>
      <w:r w:rsidRPr="00C01DA1">
        <w:t>Eesti põhikooli efektiivsuse uuring</w:t>
      </w:r>
      <w:r>
        <w:t xml:space="preserve">“, </w:t>
      </w:r>
      <w:hyperlink r:id="rId3" w:history="1">
        <w:r>
          <w:rPr>
            <w:rStyle w:val="Hyperlink"/>
          </w:rPr>
          <w:t>http://www.hm.ee/index.php?popup=download&amp;id=11756</w:t>
        </w:r>
      </w:hyperlink>
    </w:p>
  </w:footnote>
  <w:footnote w:id="9">
    <w:p w14:paraId="56EE590D" w14:textId="77777777" w:rsidR="0035250E" w:rsidRDefault="0035250E" w:rsidP="002E457D">
      <w:pPr>
        <w:pStyle w:val="FootnoteText"/>
      </w:pPr>
      <w:r>
        <w:rPr>
          <w:rStyle w:val="FootnoteReference"/>
        </w:rPr>
        <w:footnoteRef/>
      </w:r>
      <w:r>
        <w:t xml:space="preserve"> </w:t>
      </w:r>
      <w:r>
        <w:t>Näiteks naissoost õppurite osakaal loodus- ja täppisteaduste ning tehnoloogia erialade õppurite seas on 31%.</w:t>
      </w:r>
    </w:p>
  </w:footnote>
  <w:footnote w:id="10">
    <w:p w14:paraId="56EE590E" w14:textId="77777777" w:rsidR="0035250E" w:rsidRDefault="0035250E" w:rsidP="00B03696">
      <w:pPr>
        <w:pStyle w:val="ListParagraph"/>
        <w:ind w:left="0"/>
      </w:pPr>
      <w:r>
        <w:rPr>
          <w:rStyle w:val="FootnoteReference"/>
        </w:rPr>
        <w:footnoteRef/>
      </w:r>
      <w:r>
        <w:t xml:space="preserve"> </w:t>
      </w:r>
      <w:hyperlink r:id="rId4" w:history="1">
        <w:r w:rsidRPr="009D0CCD">
          <w:rPr>
            <w:rStyle w:val="Hyperlink"/>
            <w:sz w:val="18"/>
            <w:szCs w:val="18"/>
          </w:rPr>
          <w:t>http://vana.innove.ee/orb.aw/class=file/action=preview/id=36529/Karjaariteenuste_susteemi_uuring_loppraport.pdf</w:t>
        </w:r>
      </w:hyperlink>
    </w:p>
  </w:footnote>
  <w:footnote w:id="11">
    <w:p w14:paraId="56EE590F" w14:textId="77777777" w:rsidR="0035250E" w:rsidRDefault="0035250E" w:rsidP="00B03696">
      <w:pPr>
        <w:pStyle w:val="FootnoteText"/>
      </w:pPr>
      <w:r>
        <w:rPr>
          <w:rStyle w:val="FootnoteReference"/>
        </w:rPr>
        <w:footnoteRef/>
      </w:r>
      <w:r>
        <w:t xml:space="preserve"> </w:t>
      </w:r>
      <w:r>
        <w:t xml:space="preserve">„Täiskasvanute oskused Eestis ja maailmas. PIAAC uuringu esmased tulemused“, 2013. Peatükk 3.4. „Hariduslik jaotus“. </w:t>
      </w:r>
    </w:p>
  </w:footnote>
  <w:footnote w:id="12">
    <w:p w14:paraId="56EE5910" w14:textId="77777777" w:rsidR="0035250E" w:rsidRDefault="0035250E">
      <w:pPr>
        <w:pStyle w:val="FootnoteText"/>
      </w:pPr>
      <w:r>
        <w:rPr>
          <w:rStyle w:val="FootnoteReference"/>
        </w:rPr>
        <w:footnoteRef/>
      </w:r>
      <w:r>
        <w:t xml:space="preserve"> </w:t>
      </w:r>
      <w:r>
        <w:t xml:space="preserve">Internet skills and use: </w:t>
      </w:r>
      <w:hyperlink r:id="rId5" w:history="1">
        <w:r>
          <w:rPr>
            <w:rStyle w:val="Hyperlink"/>
          </w:rPr>
          <w:t>https://ec.europa.eu/digital-agenda/sites/digital-agenda/files/DAE%20SCOREBOARD%202013%20-%203-INTERNET%20USE%20AND%20SKILLS.pdf</w:t>
        </w:r>
      </w:hyperlink>
    </w:p>
    <w:p w14:paraId="56EE5911" w14:textId="77777777" w:rsidR="0035250E" w:rsidRDefault="0035250E">
      <w:pPr>
        <w:pStyle w:val="FootnoteText"/>
      </w:pPr>
      <w:r>
        <w:t>lk 83</w:t>
      </w:r>
    </w:p>
  </w:footnote>
  <w:footnote w:id="13">
    <w:p w14:paraId="56EE5912" w14:textId="77777777" w:rsidR="0035250E" w:rsidRDefault="0035250E">
      <w:pPr>
        <w:pStyle w:val="FootnoteText"/>
      </w:pPr>
      <w:r>
        <w:rPr>
          <w:rStyle w:val="FootnoteReference"/>
        </w:rPr>
        <w:footnoteRef/>
      </w:r>
      <w:r>
        <w:t xml:space="preserve"> </w:t>
      </w:r>
      <w:r>
        <w:t>Statistikaameti tööjõu-uuringu põhjal hindab 76% inimestest oma arvutioskusi piisavaks töökoha otsimiseks või vahetamiseks järgmise aasta jooksul.</w:t>
      </w:r>
    </w:p>
  </w:footnote>
  <w:footnote w:id="14">
    <w:p w14:paraId="56EE5913" w14:textId="77777777" w:rsidR="0035250E" w:rsidRPr="004D669C" w:rsidRDefault="0035250E" w:rsidP="004D669C">
      <w:pPr>
        <w:pStyle w:val="FootnoteText"/>
      </w:pPr>
      <w:r>
        <w:rPr>
          <w:rStyle w:val="FootnoteReference"/>
        </w:rPr>
        <w:footnoteRef/>
      </w:r>
      <w:r>
        <w:t xml:space="preserve"> </w:t>
      </w:r>
      <w:hyperlink r:id="rId6" w:history="1">
        <w:r w:rsidRPr="004D669C">
          <w:rPr>
            <w:rStyle w:val="Hyperlink"/>
          </w:rPr>
          <w:t>Euroopa Parlamendi soovitus liikmesriikidele 18.12.2006</w:t>
        </w:r>
      </w:hyperlink>
      <w:r w:rsidRPr="004D669C">
        <w:t xml:space="preserve"> määratleb järgmised võtmepädevused: emakeeleoskus; võõrkeelteoskus; matemaatikapädevus ning teadmised teaduse ja tehnoloogia alustest; infotehnoloogiline pädevus; õpioskused; sotsiaalne ja kodanikupädevus; algatusvõime ja ettevõtlikkus; kultuuriteadlikkus ja kultuuriline väljendusoskus. Strateegias on eriliselt rõhutatud vajadust arendada loovust ja ettevõtlikkust, probleemilahendus- ja meeskonnatöö oskusi, kriitilist mõtlemist ja analüüsioskust ning digipädevusi.</w:t>
      </w:r>
    </w:p>
    <w:p w14:paraId="56EE5914" w14:textId="77777777" w:rsidR="0035250E" w:rsidRDefault="0035250E">
      <w:pPr>
        <w:pStyle w:val="FootnoteText"/>
      </w:pPr>
    </w:p>
  </w:footnote>
  <w:footnote w:id="15">
    <w:p w14:paraId="56EE5915" w14:textId="77777777" w:rsidR="0035250E" w:rsidRDefault="0035250E">
      <w:pPr>
        <w:pStyle w:val="FootnoteText"/>
      </w:pPr>
      <w:r>
        <w:rPr>
          <w:rStyle w:val="FootnoteReference"/>
        </w:rPr>
        <w:footnoteRef/>
      </w:r>
      <w:r>
        <w:t xml:space="preserve"> </w:t>
      </w:r>
      <w:r w:rsidRPr="006263D4">
        <w:t>Eesti majanduse</w:t>
      </w:r>
      <w:r>
        <w:t>s</w:t>
      </w:r>
      <w:r w:rsidRPr="006263D4">
        <w:t xml:space="preserve"> enim kasvupotentsiaali omavateks valdkondadeks on info- ja kommunikatsioonitehnoloogia rakendus horisontaalselt läbi teiste sektorite, te</w:t>
      </w:r>
      <w:r>
        <w:t>rvisetehnoloogiad ja teenused ning</w:t>
      </w:r>
      <w:r w:rsidRPr="006263D4">
        <w:t xml:space="preserve"> ressursside efektiivsem kasutamine.</w:t>
      </w:r>
    </w:p>
  </w:footnote>
  <w:footnote w:id="16">
    <w:p w14:paraId="56EE5916" w14:textId="77777777" w:rsidR="0035250E" w:rsidRDefault="0035250E" w:rsidP="00AF75E4">
      <w:pPr>
        <w:pStyle w:val="FootnoteText"/>
      </w:pPr>
      <w:r>
        <w:rPr>
          <w:rStyle w:val="FootnoteReference"/>
        </w:rPr>
        <w:footnoteRef/>
      </w:r>
      <w:r>
        <w:t xml:space="preserve"> </w:t>
      </w:r>
      <w:r>
        <w:t>Sh tööandjate ning töövõtjate esindajad.</w:t>
      </w:r>
    </w:p>
  </w:footnote>
  <w:footnote w:id="17">
    <w:p w14:paraId="56EE5917" w14:textId="77777777" w:rsidR="00DD6728" w:rsidRDefault="00DD6728" w:rsidP="00DD6728">
      <w:pPr>
        <w:pStyle w:val="FootnoteText"/>
      </w:pPr>
      <w:r>
        <w:rPr>
          <w:rStyle w:val="FootnoteReference"/>
        </w:rPr>
        <w:footnoteRef/>
      </w:r>
      <w:r>
        <w:t xml:space="preserve"> </w:t>
      </w:r>
      <w:r>
        <w:t>Allikas: Statistikaameti tööjõuuuring, HTMi arvutus</w:t>
      </w:r>
    </w:p>
  </w:footnote>
  <w:footnote w:id="18">
    <w:p w14:paraId="56EE5918" w14:textId="77777777" w:rsidR="00DD6728" w:rsidRDefault="00DD6728" w:rsidP="00DD6728">
      <w:pPr>
        <w:pStyle w:val="FootnoteText"/>
      </w:pPr>
      <w:r>
        <w:rPr>
          <w:rStyle w:val="FootnoteReference"/>
        </w:rPr>
        <w:footnoteRef/>
      </w:r>
      <w:r>
        <w:t xml:space="preserve"> </w:t>
      </w:r>
      <w:r>
        <w:t xml:space="preserve">Allikas: EUROSTAT 17.01.2014, Statistikaameti tööjõuuuring </w:t>
      </w:r>
    </w:p>
  </w:footnote>
  <w:footnote w:id="19">
    <w:p w14:paraId="56EE5919" w14:textId="77777777" w:rsidR="00DD6728" w:rsidRDefault="00DD6728" w:rsidP="00DD6728">
      <w:pPr>
        <w:pStyle w:val="FootnoteText"/>
      </w:pPr>
      <w:r>
        <w:rPr>
          <w:rStyle w:val="FootnoteReference"/>
        </w:rPr>
        <w:footnoteRef/>
      </w:r>
      <w:r>
        <w:t xml:space="preserve"> </w:t>
      </w:r>
      <w:r>
        <w:t xml:space="preserve">Allikas: EUROSTAT 17.01.2014 Statistikaameti tööjõuuuring </w:t>
      </w:r>
    </w:p>
  </w:footnote>
  <w:footnote w:id="20">
    <w:p w14:paraId="56EE591A" w14:textId="77777777" w:rsidR="00DD6728" w:rsidRDefault="00DD6728" w:rsidP="00DD6728">
      <w:pPr>
        <w:pStyle w:val="FootnoteText"/>
      </w:pPr>
      <w:r>
        <w:rPr>
          <w:rStyle w:val="FootnoteReference"/>
        </w:rPr>
        <w:footnoteRef/>
      </w:r>
      <w:r>
        <w:t xml:space="preserve"> </w:t>
      </w:r>
      <w:r>
        <w:t>Allikas: EUROSTAT 17.01.2014; noored, kes on lõpetanud õpingud viimase kolme aasta jooksul ISCED 3-6 tasemel</w:t>
      </w:r>
    </w:p>
  </w:footnote>
  <w:footnote w:id="21">
    <w:p w14:paraId="56EE591B" w14:textId="77777777" w:rsidR="00DD6728" w:rsidRDefault="00DD6728" w:rsidP="00DD6728">
      <w:pPr>
        <w:pStyle w:val="FootnoteText"/>
      </w:pPr>
      <w:r>
        <w:rPr>
          <w:rStyle w:val="FootnoteReference"/>
        </w:rPr>
        <w:footnoteRef/>
      </w:r>
      <w:r>
        <w:t xml:space="preserve"> </w:t>
      </w:r>
      <w:r>
        <w:t xml:space="preserve">Allikas: EL Digital Scoreboard. Küsimustikus palutakse inimestel hinnata oma arvuti- ja interneti kasutamise oskusi kuues osas, nt. failidega töötamine, uute seadmete installeerimine, uue arvuti programmi kirjutamine, kodulehe loomine jne. </w:t>
      </w:r>
    </w:p>
  </w:footnote>
  <w:footnote w:id="22">
    <w:p w14:paraId="56EE591C" w14:textId="77777777" w:rsidR="00DD6728" w:rsidRDefault="00DD6728" w:rsidP="00DD6728">
      <w:pPr>
        <w:pStyle w:val="FootnoteText"/>
      </w:pPr>
      <w:r>
        <w:rPr>
          <w:rStyle w:val="FootnoteReference"/>
        </w:rPr>
        <w:footnoteRef/>
      </w:r>
      <w:r>
        <w:t xml:space="preserve"> </w:t>
      </w:r>
      <w:r>
        <w:t xml:space="preserve">Allikas: EUROSTAT 17.01.2014, </w:t>
      </w:r>
      <w:r>
        <w:rPr>
          <w:rStyle w:val="title1"/>
          <w:rFonts w:ascii="Verdana" w:hAnsi="Verdana"/>
          <w:color w:val="5D6368"/>
          <w:sz w:val="17"/>
          <w:szCs w:val="17"/>
        </w:rPr>
        <w:t>Information society statistics (t_isoc)</w:t>
      </w:r>
      <w:r>
        <w:rPr>
          <w:rFonts w:ascii="Verdana" w:hAnsi="Verdana"/>
          <w:color w:val="5D6368"/>
          <w:sz w:val="17"/>
          <w:szCs w:val="17"/>
        </w:rPr>
        <w:t> </w:t>
      </w:r>
      <w:r>
        <w:rPr>
          <w:rStyle w:val="title4"/>
          <w:rFonts w:ascii="Verdana" w:hAnsi="Verdana"/>
          <w:color w:val="5D6368"/>
          <w:sz w:val="17"/>
          <w:szCs w:val="17"/>
        </w:rPr>
        <w:t>C. ICT usage by individuals (t_isoc_bde15c)</w:t>
      </w:r>
    </w:p>
  </w:footnote>
  <w:footnote w:id="23">
    <w:p w14:paraId="56EE591D" w14:textId="77777777" w:rsidR="00DD6728" w:rsidRDefault="00DD6728" w:rsidP="00DD6728">
      <w:pPr>
        <w:pStyle w:val="FootnoteText"/>
      </w:pPr>
      <w:r>
        <w:rPr>
          <w:rStyle w:val="FootnoteReference"/>
        </w:rPr>
        <w:footnoteRef/>
      </w:r>
      <w:r>
        <w:t xml:space="preserve"> </w:t>
      </w:r>
      <w:r w:rsidRPr="00A655B0">
        <w:t xml:space="preserve">  </w:t>
      </w:r>
      <w:r w:rsidRPr="00A655B0">
        <w:t>PISA 5</w:t>
      </w:r>
      <w:r>
        <w:t>.</w:t>
      </w:r>
      <w:r w:rsidRPr="00A655B0">
        <w:t xml:space="preserve"> ja 6</w:t>
      </w:r>
      <w:r>
        <w:t>.</w:t>
      </w:r>
      <w:r w:rsidRPr="00A655B0">
        <w:t xml:space="preserve"> taseme saavutanud </w:t>
      </w:r>
      <w:r>
        <w:t xml:space="preserve">15-aastaste </w:t>
      </w:r>
      <w:r w:rsidRPr="00A655B0">
        <w:t xml:space="preserve">õppijate osakaal </w:t>
      </w:r>
    </w:p>
  </w:footnote>
  <w:footnote w:id="24">
    <w:p w14:paraId="56EE591E" w14:textId="77777777" w:rsidR="00DD6728" w:rsidRDefault="00DD6728" w:rsidP="00DD6728">
      <w:pPr>
        <w:pStyle w:val="FootnoteText"/>
      </w:pPr>
      <w:r>
        <w:rPr>
          <w:rStyle w:val="FootnoteReference"/>
        </w:rPr>
        <w:footnoteRef/>
      </w:r>
      <w:r>
        <w:t xml:space="preserve"> </w:t>
      </w:r>
      <w:r>
        <w:t>Allikas: Education at a Glance aastad 2011, 2012, 2013, indikaator D3)</w:t>
      </w:r>
    </w:p>
  </w:footnote>
  <w:footnote w:id="25">
    <w:p w14:paraId="56EE591F" w14:textId="77777777" w:rsidR="00DD6728" w:rsidRDefault="00DD6728" w:rsidP="00DD6728">
      <w:pPr>
        <w:pStyle w:val="FootnoteText"/>
      </w:pPr>
      <w:r>
        <w:rPr>
          <w:rStyle w:val="FootnoteReference"/>
        </w:rPr>
        <w:footnoteRef/>
      </w:r>
      <w:r>
        <w:t xml:space="preserve"> </w:t>
      </w:r>
      <w:r w:rsidRPr="009B124B">
        <w:rPr>
          <w:rFonts w:cs="Times New Roman"/>
        </w:rPr>
        <w:t>PISA uuringus alla 2. taseme saavutanud 15</w:t>
      </w:r>
      <w:r>
        <w:rPr>
          <w:rFonts w:cs="Times New Roman"/>
        </w:rPr>
        <w:t>-</w:t>
      </w:r>
      <w:r w:rsidRPr="009B124B">
        <w:rPr>
          <w:rFonts w:cs="Times New Roman"/>
        </w:rPr>
        <w:t xml:space="preserve">aastaste </w:t>
      </w:r>
      <w:r>
        <w:rPr>
          <w:rFonts w:cs="Times New Roman"/>
        </w:rPr>
        <w:t xml:space="preserve">õppijate </w:t>
      </w:r>
      <w:r w:rsidRPr="009B124B">
        <w:rPr>
          <w:rFonts w:cs="Times New Roman"/>
        </w:rPr>
        <w:t>osakaal</w:t>
      </w:r>
    </w:p>
  </w:footnote>
  <w:footnote w:id="26">
    <w:p w14:paraId="56EE5920" w14:textId="77777777" w:rsidR="00DD6728" w:rsidRDefault="00DD6728" w:rsidP="00DD6728">
      <w:pPr>
        <w:pStyle w:val="FootnoteText"/>
      </w:pPr>
      <w:r>
        <w:rPr>
          <w:rStyle w:val="FootnoteReference"/>
        </w:rPr>
        <w:footnoteRef/>
      </w:r>
      <w:r>
        <w:t xml:space="preserve"> </w:t>
      </w:r>
      <w:r>
        <w:t>Allikas: EHIS</w:t>
      </w:r>
    </w:p>
  </w:footnote>
  <w:footnote w:id="27">
    <w:p w14:paraId="56EE5921" w14:textId="77777777" w:rsidR="00DD6728" w:rsidRDefault="00DD6728" w:rsidP="00DD6728">
      <w:pPr>
        <w:pStyle w:val="FootnoteText"/>
      </w:pPr>
      <w:r>
        <w:rPr>
          <w:rStyle w:val="FootnoteReference"/>
        </w:rPr>
        <w:footnoteRef/>
      </w:r>
      <w:r>
        <w:t xml:space="preserve"> </w:t>
      </w:r>
      <w:r>
        <w:t>Allikas EHIS, vaadeldakse õpingute katkestajaid õpingute esimesel aastal.</w:t>
      </w:r>
    </w:p>
  </w:footnote>
  <w:footnote w:id="28">
    <w:p w14:paraId="56EE5922" w14:textId="77777777" w:rsidR="00DD6728" w:rsidRDefault="00DD6728" w:rsidP="00DD6728">
      <w:pPr>
        <w:pStyle w:val="FootnoteText"/>
      </w:pPr>
      <w:r>
        <w:rPr>
          <w:rStyle w:val="FootnoteReference"/>
        </w:rPr>
        <w:footnoteRef/>
      </w:r>
      <w:r>
        <w:t xml:space="preserve"> </w:t>
      </w:r>
      <w:r>
        <w:t>Kutsekeskhariduse õppekavadel õppijatest</w:t>
      </w:r>
    </w:p>
  </w:footnote>
  <w:footnote w:id="29">
    <w:p w14:paraId="56EE5923" w14:textId="77777777" w:rsidR="00DD6728" w:rsidRDefault="00DD6728" w:rsidP="00DD6728">
      <w:pPr>
        <w:pStyle w:val="FootnoteText"/>
      </w:pPr>
      <w:r>
        <w:rPr>
          <w:rStyle w:val="FootnoteReference"/>
        </w:rPr>
        <w:footnoteRef/>
      </w:r>
      <w:r>
        <w:t xml:space="preserve"> </w:t>
      </w:r>
      <w:r>
        <w:t>Statsionaarses õppes</w:t>
      </w:r>
    </w:p>
  </w:footnote>
  <w:footnote w:id="30">
    <w:p w14:paraId="56EE5924" w14:textId="77777777" w:rsidR="00DD6728" w:rsidRDefault="00DD6728" w:rsidP="00DD6728">
      <w:pPr>
        <w:pStyle w:val="FootnoteText"/>
      </w:pPr>
      <w:r>
        <w:rPr>
          <w:rStyle w:val="FootnoteReference"/>
        </w:rPr>
        <w:footnoteRef/>
      </w:r>
      <w:r>
        <w:t xml:space="preserve"> </w:t>
      </w:r>
      <w:r>
        <w:t>Kõrghariduslikud õppekavad kõrgkoolides ja kutseõppeasutustes.</w:t>
      </w:r>
    </w:p>
  </w:footnote>
  <w:footnote w:id="31">
    <w:p w14:paraId="56EE5925" w14:textId="77777777" w:rsidR="00DD6728" w:rsidRDefault="00DD6728" w:rsidP="00DD6728">
      <w:pPr>
        <w:pStyle w:val="FootnoteText"/>
      </w:pPr>
      <w:r>
        <w:rPr>
          <w:rStyle w:val="FootnoteReference"/>
        </w:rPr>
        <w:footnoteRef/>
      </w:r>
      <w:r>
        <w:t xml:space="preserve"> </w:t>
      </w:r>
      <w:r>
        <w:t>Allikas: EHIS</w:t>
      </w:r>
    </w:p>
  </w:footnote>
  <w:footnote w:id="32">
    <w:p w14:paraId="56EE5926" w14:textId="77777777" w:rsidR="00DD6728" w:rsidRDefault="00DD6728" w:rsidP="00DD6728">
      <w:pPr>
        <w:pStyle w:val="FootnoteText"/>
      </w:pPr>
      <w:r>
        <w:rPr>
          <w:rStyle w:val="FootnoteReference"/>
        </w:rPr>
        <w:footnoteRef/>
      </w:r>
      <w:r>
        <w:t xml:space="preserve"> </w:t>
      </w:r>
      <w:r>
        <w:t>Indikaatori arvutamise metoodika täpsustatakse koos andmekogumise organiseerimisega</w:t>
      </w:r>
    </w:p>
  </w:footnote>
  <w:footnote w:id="33">
    <w:p w14:paraId="56EE5927" w14:textId="77777777" w:rsidR="00DD6728" w:rsidRDefault="00DD6728" w:rsidP="00DD6728">
      <w:pPr>
        <w:pStyle w:val="FootnoteText"/>
      </w:pPr>
      <w:r>
        <w:rPr>
          <w:rStyle w:val="FootnoteReference"/>
        </w:rPr>
        <w:footnoteRef/>
      </w:r>
      <w:r>
        <w:t xml:space="preserve"> </w:t>
      </w:r>
      <w:r>
        <w:t>Allikas: EHIS</w:t>
      </w:r>
    </w:p>
  </w:footnote>
  <w:footnote w:id="34">
    <w:p w14:paraId="56EE5928" w14:textId="77777777" w:rsidR="00DD6728" w:rsidRDefault="00DD6728" w:rsidP="00DD6728">
      <w:pPr>
        <w:pStyle w:val="FootnoteText"/>
      </w:pPr>
      <w:r>
        <w:rPr>
          <w:rStyle w:val="FootnoteReference"/>
        </w:rPr>
        <w:footnoteRef/>
      </w:r>
      <w:r>
        <w:t xml:space="preserve"> </w:t>
      </w:r>
      <w:r>
        <w:t>Allikas: EHIS</w:t>
      </w:r>
    </w:p>
  </w:footnote>
  <w:footnote w:id="35">
    <w:p w14:paraId="56EE5929" w14:textId="77777777" w:rsidR="00DD6728" w:rsidRDefault="00DD6728" w:rsidP="00DD6728">
      <w:pPr>
        <w:pStyle w:val="FootnoteText"/>
      </w:pPr>
      <w:r>
        <w:rPr>
          <w:rStyle w:val="FootnoteReference"/>
        </w:rPr>
        <w:footnoteRef/>
      </w:r>
      <w:r>
        <w:t xml:space="preserve"> </w:t>
      </w:r>
      <w:r>
        <w:t>Allikas: EHIS</w:t>
      </w:r>
    </w:p>
  </w:footnote>
  <w:footnote w:id="36">
    <w:p w14:paraId="56EE592A" w14:textId="77777777" w:rsidR="00DD6728" w:rsidRDefault="00DD6728" w:rsidP="00DD6728">
      <w:pPr>
        <w:pStyle w:val="FootnoteText"/>
      </w:pPr>
      <w:r>
        <w:rPr>
          <w:rStyle w:val="FootnoteReference"/>
        </w:rPr>
        <w:footnoteRef/>
      </w:r>
      <w:r>
        <w:t xml:space="preserve"> </w:t>
      </w:r>
      <w:r>
        <w:t>Allikas: EHIS, arvestatud üld- ja kutse</w:t>
      </w:r>
      <w:r w:rsidRPr="00A27977">
        <w:rPr>
          <w:u w:val="single"/>
        </w:rPr>
        <w:t>keskhariduse</w:t>
      </w:r>
      <w:r w:rsidRPr="002E5041">
        <w:t xml:space="preserve"> </w:t>
      </w:r>
      <w:r>
        <w:t>õppekavade järgi õppijaid</w:t>
      </w:r>
    </w:p>
  </w:footnote>
  <w:footnote w:id="37">
    <w:p w14:paraId="56EE592B" w14:textId="77777777" w:rsidR="00DD6728" w:rsidRDefault="00DD6728" w:rsidP="00DD6728">
      <w:pPr>
        <w:pStyle w:val="FootnoteText"/>
      </w:pPr>
      <w:r>
        <w:rPr>
          <w:rStyle w:val="FootnoteReference"/>
        </w:rPr>
        <w:footnoteRef/>
      </w:r>
      <w:r>
        <w:t xml:space="preserve"> </w:t>
      </w:r>
      <w:r>
        <w:t xml:space="preserve">Allikas: </w:t>
      </w:r>
      <w:r>
        <w:rPr>
          <w:rFonts w:cs="Times New Roman"/>
        </w:rPr>
        <w:t>rahvusvahelistumise strateegia vahearuanne, 2012. a SA Archimedes</w:t>
      </w:r>
    </w:p>
  </w:footnote>
  <w:footnote w:id="38">
    <w:p w14:paraId="56EE592C" w14:textId="77777777" w:rsidR="00DD6728" w:rsidRPr="000775C3" w:rsidRDefault="00DD6728" w:rsidP="00DD6728">
      <w:pPr>
        <w:pStyle w:val="FootnoteText"/>
      </w:pPr>
      <w:r>
        <w:rPr>
          <w:rStyle w:val="FootnoteReference"/>
        </w:rPr>
        <w:footnoteRef/>
      </w:r>
      <w:r>
        <w:t xml:space="preserve"> </w:t>
      </w:r>
      <w:r w:rsidRPr="000775C3">
        <w:rPr>
          <w:rFonts w:ascii="Calibri" w:hAnsi="Calibri" w:cs="Tahoma"/>
          <w:color w:val="000000"/>
        </w:rPr>
        <w:t xml:space="preserve">Allikas:  EL  „Survey  of  Schools:  ICT  and  Education“. Digitaalselt toetavaks koolideks loetakse õppeasutusi, kus pakutakse õpetajatele toetusmeetmeid IKT kasutamiseks õpetamisel ja õppimisel (haridustehnoloogiline tugi, õpetajate koolitus jne) </w:t>
      </w:r>
    </w:p>
  </w:footnote>
  <w:footnote w:id="39">
    <w:p w14:paraId="56EE592D" w14:textId="77777777" w:rsidR="00DD6728" w:rsidRPr="000775C3" w:rsidRDefault="00DD6728" w:rsidP="00DD6728">
      <w:pPr>
        <w:pStyle w:val="FootnoteText"/>
      </w:pPr>
      <w:r w:rsidRPr="000775C3">
        <w:rPr>
          <w:rStyle w:val="FootnoteReference"/>
        </w:rPr>
        <w:footnoteRef/>
      </w:r>
      <w:r w:rsidRPr="000775C3">
        <w:t xml:space="preserve"> </w:t>
      </w:r>
      <w:r w:rsidRPr="000775C3">
        <w:rPr>
          <w:rFonts w:ascii="Calibri" w:hAnsi="Calibri" w:cs="Tahoma"/>
          <w:color w:val="000000"/>
        </w:rPr>
        <w:t>2011/12 õppeaasta andmed</w:t>
      </w:r>
    </w:p>
  </w:footnote>
  <w:footnote w:id="40">
    <w:p w14:paraId="56EE592E" w14:textId="77777777" w:rsidR="00DD6728" w:rsidRPr="000775C3" w:rsidRDefault="00DD6728" w:rsidP="00DD6728">
      <w:pPr>
        <w:pStyle w:val="FootnoteText"/>
      </w:pPr>
      <w:r w:rsidRPr="000775C3">
        <w:rPr>
          <w:rStyle w:val="FootnoteReference"/>
        </w:rPr>
        <w:footnoteRef/>
      </w:r>
      <w:r w:rsidRPr="000775C3">
        <w:t xml:space="preserve"> </w:t>
      </w:r>
      <w:r w:rsidRPr="000775C3">
        <w:rPr>
          <w:rFonts w:ascii="Calibri" w:hAnsi="Calibri" w:cs="Tahoma"/>
          <w:color w:val="000000"/>
        </w:rPr>
        <w:t>Allikas:  EL  „Survey  of  Schools:  ICT  and  Education“, virtuaalne õpikeskkond võib sisaldada erinevaid võimalusi nagu: õppetöö ja testide läbiviimine, hindamine, kodutööde tegemine jne, ning võib sisaldada viiteid erinevatele materjalidele ja allikatele</w:t>
      </w:r>
    </w:p>
  </w:footnote>
  <w:footnote w:id="41">
    <w:p w14:paraId="56EE592F" w14:textId="77777777" w:rsidR="00DD6728" w:rsidRPr="000775C3" w:rsidRDefault="00DD6728" w:rsidP="00DD6728">
      <w:pPr>
        <w:pStyle w:val="FootnoteText"/>
      </w:pPr>
      <w:r w:rsidRPr="000775C3">
        <w:rPr>
          <w:rStyle w:val="FootnoteReference"/>
        </w:rPr>
        <w:footnoteRef/>
      </w:r>
      <w:r w:rsidRPr="000775C3">
        <w:t xml:space="preserve"> </w:t>
      </w:r>
      <w:r w:rsidRPr="000775C3">
        <w:rPr>
          <w:rFonts w:ascii="Calibri" w:hAnsi="Calibri" w:cs="Tahoma"/>
          <w:color w:val="000000"/>
        </w:rPr>
        <w:t>2011/12 õppeaasta andmed</w:t>
      </w:r>
    </w:p>
  </w:footnote>
  <w:footnote w:id="42">
    <w:p w14:paraId="56EE5930" w14:textId="77777777" w:rsidR="00DD6728" w:rsidRPr="000775C3" w:rsidRDefault="00DD6728" w:rsidP="00DD6728">
      <w:pPr>
        <w:pStyle w:val="FootnoteText"/>
      </w:pPr>
      <w:r w:rsidRPr="000775C3">
        <w:rPr>
          <w:rStyle w:val="FootnoteReference"/>
        </w:rPr>
        <w:footnoteRef/>
      </w:r>
      <w:r w:rsidRPr="000775C3">
        <w:t xml:space="preserve"> </w:t>
      </w:r>
      <w:r w:rsidRPr="000775C3">
        <w:t>Mõõtmise metoodika töötatakse välja strateegia rakendamise käigus</w:t>
      </w:r>
    </w:p>
  </w:footnote>
  <w:footnote w:id="43">
    <w:p w14:paraId="56EE5931" w14:textId="77777777" w:rsidR="00DD6728" w:rsidRPr="000775C3" w:rsidRDefault="00DD6728" w:rsidP="00DD6728">
      <w:pPr>
        <w:pStyle w:val="FootnoteText"/>
      </w:pPr>
      <w:r w:rsidRPr="000775C3">
        <w:rPr>
          <w:rStyle w:val="FootnoteReference"/>
        </w:rPr>
        <w:footnoteRef/>
      </w:r>
      <w:r w:rsidRPr="000775C3">
        <w:t xml:space="preserve"> </w:t>
      </w:r>
      <w:r w:rsidRPr="000775C3">
        <w:t xml:space="preserve">Allikas: EUROSTAT 17.01. 2014, Statistikaameti Tööjõuuuring </w:t>
      </w:r>
    </w:p>
  </w:footnote>
  <w:footnote w:id="44">
    <w:p w14:paraId="56EE5932" w14:textId="77777777" w:rsidR="00DD6728" w:rsidRPr="000775C3" w:rsidRDefault="00DD6728" w:rsidP="00DD6728">
      <w:pPr>
        <w:pStyle w:val="FootnoteText"/>
      </w:pPr>
      <w:r w:rsidRPr="000775C3">
        <w:rPr>
          <w:rStyle w:val="FootnoteReference"/>
        </w:rPr>
        <w:footnoteRef/>
      </w:r>
      <w:r w:rsidRPr="000775C3">
        <w:t xml:space="preserve"> </w:t>
      </w:r>
      <w:r w:rsidRPr="000775C3">
        <w:t xml:space="preserve">Allikas: EUROSTAT 17.01.2014 </w:t>
      </w:r>
    </w:p>
  </w:footnote>
  <w:footnote w:id="45">
    <w:p w14:paraId="56EE5933" w14:textId="77777777" w:rsidR="00DD6728" w:rsidRPr="000775C3" w:rsidRDefault="00DD6728" w:rsidP="00DD6728">
      <w:pPr>
        <w:pStyle w:val="FootnoteText"/>
      </w:pPr>
      <w:r w:rsidRPr="000775C3">
        <w:rPr>
          <w:rStyle w:val="FootnoteReference"/>
        </w:rPr>
        <w:footnoteRef/>
      </w:r>
      <w:r w:rsidRPr="000775C3">
        <w:t xml:space="preserve"> </w:t>
      </w:r>
      <w:r w:rsidRPr="000775C3">
        <w:t>Arvutuse metoodika muutus alates 2010.a. andmetest EUROSTATis</w:t>
      </w:r>
    </w:p>
  </w:footnote>
  <w:footnote w:id="46">
    <w:p w14:paraId="56EE5934" w14:textId="77777777" w:rsidR="00DD052A" w:rsidRPr="000775C3" w:rsidRDefault="00DD052A" w:rsidP="00DD6728">
      <w:pPr>
        <w:pStyle w:val="FootnoteText"/>
      </w:pPr>
      <w:r w:rsidRPr="000775C3">
        <w:rPr>
          <w:rStyle w:val="FootnoteReference"/>
        </w:rPr>
        <w:footnoteRef/>
      </w:r>
      <w:r w:rsidRPr="000775C3">
        <w:t xml:space="preserve"> </w:t>
      </w:r>
      <w:r w:rsidRPr="000775C3">
        <w:t>Allikas: INNOVE ja EHIS (</w:t>
      </w:r>
      <w:r w:rsidRPr="000775C3">
        <w:rPr>
          <w:color w:val="000000"/>
          <w:lang w:eastAsia="et-EE"/>
        </w:rPr>
        <w:t>60% ja rohkem pallidest)</w:t>
      </w:r>
    </w:p>
  </w:footnote>
  <w:footnote w:id="47">
    <w:p w14:paraId="56EE5935" w14:textId="77777777" w:rsidR="00DD052A" w:rsidRPr="000775C3" w:rsidRDefault="00DD052A" w:rsidP="00DD6728">
      <w:pPr>
        <w:pStyle w:val="FootnoteText"/>
      </w:pPr>
      <w:r w:rsidRPr="000775C3">
        <w:rPr>
          <w:rStyle w:val="FootnoteReference"/>
        </w:rPr>
        <w:footnoteRef/>
      </w:r>
      <w:r w:rsidRPr="000775C3">
        <w:t xml:space="preserve"> </w:t>
      </w:r>
      <w:r w:rsidRPr="000775C3">
        <w:t>Allikas: Statistikaamet, Saldoandmik</w:t>
      </w:r>
    </w:p>
  </w:footnote>
  <w:footnote w:id="48">
    <w:p w14:paraId="56EE5936" w14:textId="77777777" w:rsidR="00DD052A" w:rsidRPr="000775C3" w:rsidRDefault="00DD052A" w:rsidP="00DD6728">
      <w:pPr>
        <w:pStyle w:val="FootnoteText"/>
      </w:pPr>
      <w:r w:rsidRPr="000775C3">
        <w:rPr>
          <w:rStyle w:val="FootnoteReference"/>
        </w:rPr>
        <w:footnoteRef/>
      </w:r>
      <w:r w:rsidRPr="000775C3">
        <w:t xml:space="preserve"> </w:t>
      </w:r>
      <w:r w:rsidRPr="000775C3">
        <w:rPr>
          <w:rFonts w:ascii="Calibri" w:hAnsi="Calibri"/>
          <w:color w:val="000000"/>
        </w:rPr>
        <w:t>sihttasemed sõltuvad EL struktuuritoetuste 2014+ perioodi rahastusotsustest, täpsustatakse viimase teadmise baasilt enne valitsuse istungile esitamist.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589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F4AE8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4B45C6"/>
    <w:multiLevelType w:val="hybridMultilevel"/>
    <w:tmpl w:val="0950889C"/>
    <w:lvl w:ilvl="0" w:tplc="04250017">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B450E5"/>
    <w:multiLevelType w:val="hybridMultilevel"/>
    <w:tmpl w:val="67C6B0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CCC1132"/>
    <w:multiLevelType w:val="hybridMultilevel"/>
    <w:tmpl w:val="D4F8E9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DB92003"/>
    <w:multiLevelType w:val="hybridMultilevel"/>
    <w:tmpl w:val="9AB6CAA6"/>
    <w:lvl w:ilvl="0" w:tplc="04250001">
      <w:start w:val="1"/>
      <w:numFmt w:val="bullet"/>
      <w:lvlText w:val=""/>
      <w:lvlJc w:val="left"/>
      <w:pPr>
        <w:ind w:left="1470" w:hanging="360"/>
      </w:pPr>
      <w:rPr>
        <w:rFonts w:ascii="Symbol" w:hAnsi="Symbol" w:hint="default"/>
      </w:rPr>
    </w:lvl>
    <w:lvl w:ilvl="1" w:tplc="04250003" w:tentative="1">
      <w:start w:val="1"/>
      <w:numFmt w:val="bullet"/>
      <w:lvlText w:val="o"/>
      <w:lvlJc w:val="left"/>
      <w:pPr>
        <w:ind w:left="2190" w:hanging="360"/>
      </w:pPr>
      <w:rPr>
        <w:rFonts w:ascii="Courier New" w:hAnsi="Courier New" w:cs="Courier New" w:hint="default"/>
      </w:rPr>
    </w:lvl>
    <w:lvl w:ilvl="2" w:tplc="04250005" w:tentative="1">
      <w:start w:val="1"/>
      <w:numFmt w:val="bullet"/>
      <w:lvlText w:val=""/>
      <w:lvlJc w:val="left"/>
      <w:pPr>
        <w:ind w:left="2910" w:hanging="360"/>
      </w:pPr>
      <w:rPr>
        <w:rFonts w:ascii="Wingdings" w:hAnsi="Wingdings" w:hint="default"/>
      </w:rPr>
    </w:lvl>
    <w:lvl w:ilvl="3" w:tplc="04250001" w:tentative="1">
      <w:start w:val="1"/>
      <w:numFmt w:val="bullet"/>
      <w:lvlText w:val=""/>
      <w:lvlJc w:val="left"/>
      <w:pPr>
        <w:ind w:left="3630" w:hanging="360"/>
      </w:pPr>
      <w:rPr>
        <w:rFonts w:ascii="Symbol" w:hAnsi="Symbol" w:hint="default"/>
      </w:rPr>
    </w:lvl>
    <w:lvl w:ilvl="4" w:tplc="04250003" w:tentative="1">
      <w:start w:val="1"/>
      <w:numFmt w:val="bullet"/>
      <w:lvlText w:val="o"/>
      <w:lvlJc w:val="left"/>
      <w:pPr>
        <w:ind w:left="4350" w:hanging="360"/>
      </w:pPr>
      <w:rPr>
        <w:rFonts w:ascii="Courier New" w:hAnsi="Courier New" w:cs="Courier New" w:hint="default"/>
      </w:rPr>
    </w:lvl>
    <w:lvl w:ilvl="5" w:tplc="04250005" w:tentative="1">
      <w:start w:val="1"/>
      <w:numFmt w:val="bullet"/>
      <w:lvlText w:val=""/>
      <w:lvlJc w:val="left"/>
      <w:pPr>
        <w:ind w:left="5070" w:hanging="360"/>
      </w:pPr>
      <w:rPr>
        <w:rFonts w:ascii="Wingdings" w:hAnsi="Wingdings" w:hint="default"/>
      </w:rPr>
    </w:lvl>
    <w:lvl w:ilvl="6" w:tplc="04250001" w:tentative="1">
      <w:start w:val="1"/>
      <w:numFmt w:val="bullet"/>
      <w:lvlText w:val=""/>
      <w:lvlJc w:val="left"/>
      <w:pPr>
        <w:ind w:left="5790" w:hanging="360"/>
      </w:pPr>
      <w:rPr>
        <w:rFonts w:ascii="Symbol" w:hAnsi="Symbol" w:hint="default"/>
      </w:rPr>
    </w:lvl>
    <w:lvl w:ilvl="7" w:tplc="04250003" w:tentative="1">
      <w:start w:val="1"/>
      <w:numFmt w:val="bullet"/>
      <w:lvlText w:val="o"/>
      <w:lvlJc w:val="left"/>
      <w:pPr>
        <w:ind w:left="6510" w:hanging="360"/>
      </w:pPr>
      <w:rPr>
        <w:rFonts w:ascii="Courier New" w:hAnsi="Courier New" w:cs="Courier New" w:hint="default"/>
      </w:rPr>
    </w:lvl>
    <w:lvl w:ilvl="8" w:tplc="04250005" w:tentative="1">
      <w:start w:val="1"/>
      <w:numFmt w:val="bullet"/>
      <w:lvlText w:val=""/>
      <w:lvlJc w:val="left"/>
      <w:pPr>
        <w:ind w:left="7230" w:hanging="360"/>
      </w:pPr>
      <w:rPr>
        <w:rFonts w:ascii="Wingdings" w:hAnsi="Wingdings" w:hint="default"/>
      </w:rPr>
    </w:lvl>
  </w:abstractNum>
  <w:abstractNum w:abstractNumId="6">
    <w:nsid w:val="10123A0E"/>
    <w:multiLevelType w:val="hybridMultilevel"/>
    <w:tmpl w:val="F31869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1F2189D"/>
    <w:multiLevelType w:val="hybridMultilevel"/>
    <w:tmpl w:val="ED323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56C0222"/>
    <w:multiLevelType w:val="hybridMultilevel"/>
    <w:tmpl w:val="E5B62B7A"/>
    <w:lvl w:ilvl="0" w:tplc="0425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87E4336"/>
    <w:multiLevelType w:val="hybridMultilevel"/>
    <w:tmpl w:val="583EA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7713C9"/>
    <w:multiLevelType w:val="hybridMultilevel"/>
    <w:tmpl w:val="91FAC8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C3F5E34"/>
    <w:multiLevelType w:val="hybridMultilevel"/>
    <w:tmpl w:val="63C0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E611875"/>
    <w:multiLevelType w:val="hybridMultilevel"/>
    <w:tmpl w:val="F8CA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7C147F"/>
    <w:multiLevelType w:val="hybridMultilevel"/>
    <w:tmpl w:val="FCEEF7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0C43842"/>
    <w:multiLevelType w:val="hybridMultilevel"/>
    <w:tmpl w:val="DC72C374"/>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5">
    <w:nsid w:val="216D19CF"/>
    <w:multiLevelType w:val="hybridMultilevel"/>
    <w:tmpl w:val="85E2BB1A"/>
    <w:lvl w:ilvl="0" w:tplc="E326AC5C">
      <w:start w:val="7"/>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24B74CCC"/>
    <w:multiLevelType w:val="hybridMultilevel"/>
    <w:tmpl w:val="D5C6A06E"/>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17">
    <w:nsid w:val="26D8575B"/>
    <w:multiLevelType w:val="hybridMultilevel"/>
    <w:tmpl w:val="174ADA2A"/>
    <w:lvl w:ilvl="0" w:tplc="91B8D54C">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6E678A1"/>
    <w:multiLevelType w:val="hybridMultilevel"/>
    <w:tmpl w:val="15A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8129AC"/>
    <w:multiLevelType w:val="hybridMultilevel"/>
    <w:tmpl w:val="EC26336A"/>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BDB34F9"/>
    <w:multiLevelType w:val="hybridMultilevel"/>
    <w:tmpl w:val="DA98B25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E9C63E9"/>
    <w:multiLevelType w:val="hybridMultilevel"/>
    <w:tmpl w:val="56B4A156"/>
    <w:lvl w:ilvl="0" w:tplc="F216BFA8">
      <w:start w:val="1"/>
      <w:numFmt w:val="decimal"/>
      <w:lvlText w:val="%1."/>
      <w:lvlJc w:val="left"/>
      <w:pPr>
        <w:ind w:left="360" w:hanging="360"/>
      </w:pPr>
      <w:rPr>
        <w:rFonts w:hint="default"/>
        <w:b/>
      </w:rPr>
    </w:lvl>
    <w:lvl w:ilvl="1" w:tplc="04250001">
      <w:start w:val="1"/>
      <w:numFmt w:val="bullet"/>
      <w:lvlText w:val=""/>
      <w:lvlJc w:val="left"/>
      <w:pPr>
        <w:ind w:left="1211"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302B19C7"/>
    <w:multiLevelType w:val="multilevel"/>
    <w:tmpl w:val="99B2EF10"/>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73F3133"/>
    <w:multiLevelType w:val="hybridMultilevel"/>
    <w:tmpl w:val="47E48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9A36023"/>
    <w:multiLevelType w:val="hybridMultilevel"/>
    <w:tmpl w:val="CF048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C223754"/>
    <w:multiLevelType w:val="hybridMultilevel"/>
    <w:tmpl w:val="1C2C07FC"/>
    <w:lvl w:ilvl="0" w:tplc="B72E038C">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3C560013"/>
    <w:multiLevelType w:val="hybridMultilevel"/>
    <w:tmpl w:val="229620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D61019B"/>
    <w:multiLevelType w:val="hybridMultilevel"/>
    <w:tmpl w:val="39B2D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6613691"/>
    <w:multiLevelType w:val="hybridMultilevel"/>
    <w:tmpl w:val="29C6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66E3631"/>
    <w:multiLevelType w:val="hybridMultilevel"/>
    <w:tmpl w:val="893A0C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6BF4FDA"/>
    <w:multiLevelType w:val="hybridMultilevel"/>
    <w:tmpl w:val="DB086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FC6379"/>
    <w:multiLevelType w:val="hybridMultilevel"/>
    <w:tmpl w:val="B028991C"/>
    <w:lvl w:ilvl="0" w:tplc="55A4C846">
      <w:start w:val="1"/>
      <w:numFmt w:val="bullet"/>
      <w:lvlText w:val="–"/>
      <w:lvlJc w:val="left"/>
      <w:pPr>
        <w:tabs>
          <w:tab w:val="num" w:pos="360"/>
        </w:tabs>
        <w:ind w:left="360" w:hanging="360"/>
      </w:pPr>
      <w:rPr>
        <w:rFonts w:ascii="Arial" w:hAnsi="Arial" w:hint="default"/>
      </w:rPr>
    </w:lvl>
    <w:lvl w:ilvl="1" w:tplc="A57C1C58">
      <w:start w:val="1"/>
      <w:numFmt w:val="bullet"/>
      <w:lvlText w:val="–"/>
      <w:lvlJc w:val="left"/>
      <w:pPr>
        <w:tabs>
          <w:tab w:val="num" w:pos="1080"/>
        </w:tabs>
        <w:ind w:left="1080" w:hanging="360"/>
      </w:pPr>
      <w:rPr>
        <w:rFonts w:ascii="Arial" w:hAnsi="Arial" w:hint="default"/>
      </w:rPr>
    </w:lvl>
    <w:lvl w:ilvl="2" w:tplc="C604281C">
      <w:start w:val="2340"/>
      <w:numFmt w:val="bullet"/>
      <w:lvlText w:val="•"/>
      <w:lvlJc w:val="left"/>
      <w:pPr>
        <w:tabs>
          <w:tab w:val="num" w:pos="1800"/>
        </w:tabs>
        <w:ind w:left="1800" w:hanging="360"/>
      </w:pPr>
      <w:rPr>
        <w:rFonts w:ascii="Arial" w:hAnsi="Arial" w:hint="default"/>
      </w:rPr>
    </w:lvl>
    <w:lvl w:ilvl="3" w:tplc="090E9A58" w:tentative="1">
      <w:start w:val="1"/>
      <w:numFmt w:val="bullet"/>
      <w:lvlText w:val="–"/>
      <w:lvlJc w:val="left"/>
      <w:pPr>
        <w:tabs>
          <w:tab w:val="num" w:pos="2520"/>
        </w:tabs>
        <w:ind w:left="2520" w:hanging="360"/>
      </w:pPr>
      <w:rPr>
        <w:rFonts w:ascii="Arial" w:hAnsi="Arial" w:hint="default"/>
      </w:rPr>
    </w:lvl>
    <w:lvl w:ilvl="4" w:tplc="876A771C" w:tentative="1">
      <w:start w:val="1"/>
      <w:numFmt w:val="bullet"/>
      <w:lvlText w:val="–"/>
      <w:lvlJc w:val="left"/>
      <w:pPr>
        <w:tabs>
          <w:tab w:val="num" w:pos="3240"/>
        </w:tabs>
        <w:ind w:left="3240" w:hanging="360"/>
      </w:pPr>
      <w:rPr>
        <w:rFonts w:ascii="Arial" w:hAnsi="Arial" w:hint="default"/>
      </w:rPr>
    </w:lvl>
    <w:lvl w:ilvl="5" w:tplc="EC5C4DB8" w:tentative="1">
      <w:start w:val="1"/>
      <w:numFmt w:val="bullet"/>
      <w:lvlText w:val="–"/>
      <w:lvlJc w:val="left"/>
      <w:pPr>
        <w:tabs>
          <w:tab w:val="num" w:pos="3960"/>
        </w:tabs>
        <w:ind w:left="3960" w:hanging="360"/>
      </w:pPr>
      <w:rPr>
        <w:rFonts w:ascii="Arial" w:hAnsi="Arial" w:hint="default"/>
      </w:rPr>
    </w:lvl>
    <w:lvl w:ilvl="6" w:tplc="193EA6D4" w:tentative="1">
      <w:start w:val="1"/>
      <w:numFmt w:val="bullet"/>
      <w:lvlText w:val="–"/>
      <w:lvlJc w:val="left"/>
      <w:pPr>
        <w:tabs>
          <w:tab w:val="num" w:pos="4680"/>
        </w:tabs>
        <w:ind w:left="4680" w:hanging="360"/>
      </w:pPr>
      <w:rPr>
        <w:rFonts w:ascii="Arial" w:hAnsi="Arial" w:hint="default"/>
      </w:rPr>
    </w:lvl>
    <w:lvl w:ilvl="7" w:tplc="92508602" w:tentative="1">
      <w:start w:val="1"/>
      <w:numFmt w:val="bullet"/>
      <w:lvlText w:val="–"/>
      <w:lvlJc w:val="left"/>
      <w:pPr>
        <w:tabs>
          <w:tab w:val="num" w:pos="5400"/>
        </w:tabs>
        <w:ind w:left="5400" w:hanging="360"/>
      </w:pPr>
      <w:rPr>
        <w:rFonts w:ascii="Arial" w:hAnsi="Arial" w:hint="default"/>
      </w:rPr>
    </w:lvl>
    <w:lvl w:ilvl="8" w:tplc="73E0F224" w:tentative="1">
      <w:start w:val="1"/>
      <w:numFmt w:val="bullet"/>
      <w:lvlText w:val="–"/>
      <w:lvlJc w:val="left"/>
      <w:pPr>
        <w:tabs>
          <w:tab w:val="num" w:pos="6120"/>
        </w:tabs>
        <w:ind w:left="6120" w:hanging="360"/>
      </w:pPr>
      <w:rPr>
        <w:rFonts w:ascii="Arial" w:hAnsi="Arial" w:hint="default"/>
      </w:rPr>
    </w:lvl>
  </w:abstractNum>
  <w:abstractNum w:abstractNumId="32">
    <w:nsid w:val="4D487AA2"/>
    <w:multiLevelType w:val="hybridMultilevel"/>
    <w:tmpl w:val="B3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085E06"/>
    <w:multiLevelType w:val="hybridMultilevel"/>
    <w:tmpl w:val="1C2C07FC"/>
    <w:lvl w:ilvl="0" w:tplc="B72E038C">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54521A64"/>
    <w:multiLevelType w:val="hybridMultilevel"/>
    <w:tmpl w:val="FEDE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DF6671"/>
    <w:multiLevelType w:val="hybridMultilevel"/>
    <w:tmpl w:val="9F8EBD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84807DD"/>
    <w:multiLevelType w:val="hybridMultilevel"/>
    <w:tmpl w:val="A6CC71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90D0EFA"/>
    <w:multiLevelType w:val="hybridMultilevel"/>
    <w:tmpl w:val="7C3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7E0D7C"/>
    <w:multiLevelType w:val="hybridMultilevel"/>
    <w:tmpl w:val="E856CCA4"/>
    <w:lvl w:ilvl="0" w:tplc="0425000F">
      <w:start w:val="1"/>
      <w:numFmt w:val="decimal"/>
      <w:lvlText w:val="%1."/>
      <w:lvlJc w:val="left"/>
      <w:pPr>
        <w:ind w:left="862" w:hanging="360"/>
      </w:p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9">
    <w:nsid w:val="5E11792E"/>
    <w:multiLevelType w:val="hybridMultilevel"/>
    <w:tmpl w:val="5C9ADC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4E44A40"/>
    <w:multiLevelType w:val="hybridMultilevel"/>
    <w:tmpl w:val="82A803B4"/>
    <w:lvl w:ilvl="0" w:tplc="08090001">
      <w:start w:val="1"/>
      <w:numFmt w:val="bullet"/>
      <w:lvlText w:val=""/>
      <w:lvlJc w:val="left"/>
      <w:pPr>
        <w:ind w:left="1110" w:hanging="360"/>
      </w:pPr>
      <w:rPr>
        <w:rFonts w:ascii="Symbol" w:hAnsi="Symbol" w:hint="default"/>
      </w:rPr>
    </w:lvl>
    <w:lvl w:ilvl="1" w:tplc="04250003" w:tentative="1">
      <w:start w:val="1"/>
      <w:numFmt w:val="bullet"/>
      <w:lvlText w:val="o"/>
      <w:lvlJc w:val="left"/>
      <w:pPr>
        <w:ind w:left="1830" w:hanging="360"/>
      </w:pPr>
      <w:rPr>
        <w:rFonts w:ascii="Courier New" w:hAnsi="Courier New" w:cs="Courier New" w:hint="default"/>
      </w:rPr>
    </w:lvl>
    <w:lvl w:ilvl="2" w:tplc="04250005" w:tentative="1">
      <w:start w:val="1"/>
      <w:numFmt w:val="bullet"/>
      <w:lvlText w:val=""/>
      <w:lvlJc w:val="left"/>
      <w:pPr>
        <w:ind w:left="2550" w:hanging="360"/>
      </w:pPr>
      <w:rPr>
        <w:rFonts w:ascii="Wingdings" w:hAnsi="Wingdings" w:hint="default"/>
      </w:rPr>
    </w:lvl>
    <w:lvl w:ilvl="3" w:tplc="04250001" w:tentative="1">
      <w:start w:val="1"/>
      <w:numFmt w:val="bullet"/>
      <w:lvlText w:val=""/>
      <w:lvlJc w:val="left"/>
      <w:pPr>
        <w:ind w:left="3270" w:hanging="360"/>
      </w:pPr>
      <w:rPr>
        <w:rFonts w:ascii="Symbol" w:hAnsi="Symbol" w:hint="default"/>
      </w:rPr>
    </w:lvl>
    <w:lvl w:ilvl="4" w:tplc="04250003" w:tentative="1">
      <w:start w:val="1"/>
      <w:numFmt w:val="bullet"/>
      <w:lvlText w:val="o"/>
      <w:lvlJc w:val="left"/>
      <w:pPr>
        <w:ind w:left="3990" w:hanging="360"/>
      </w:pPr>
      <w:rPr>
        <w:rFonts w:ascii="Courier New" w:hAnsi="Courier New" w:cs="Courier New" w:hint="default"/>
      </w:rPr>
    </w:lvl>
    <w:lvl w:ilvl="5" w:tplc="04250005" w:tentative="1">
      <w:start w:val="1"/>
      <w:numFmt w:val="bullet"/>
      <w:lvlText w:val=""/>
      <w:lvlJc w:val="left"/>
      <w:pPr>
        <w:ind w:left="4710" w:hanging="360"/>
      </w:pPr>
      <w:rPr>
        <w:rFonts w:ascii="Wingdings" w:hAnsi="Wingdings" w:hint="default"/>
      </w:rPr>
    </w:lvl>
    <w:lvl w:ilvl="6" w:tplc="04250001" w:tentative="1">
      <w:start w:val="1"/>
      <w:numFmt w:val="bullet"/>
      <w:lvlText w:val=""/>
      <w:lvlJc w:val="left"/>
      <w:pPr>
        <w:ind w:left="5430" w:hanging="360"/>
      </w:pPr>
      <w:rPr>
        <w:rFonts w:ascii="Symbol" w:hAnsi="Symbol" w:hint="default"/>
      </w:rPr>
    </w:lvl>
    <w:lvl w:ilvl="7" w:tplc="04250003" w:tentative="1">
      <w:start w:val="1"/>
      <w:numFmt w:val="bullet"/>
      <w:lvlText w:val="o"/>
      <w:lvlJc w:val="left"/>
      <w:pPr>
        <w:ind w:left="6150" w:hanging="360"/>
      </w:pPr>
      <w:rPr>
        <w:rFonts w:ascii="Courier New" w:hAnsi="Courier New" w:cs="Courier New" w:hint="default"/>
      </w:rPr>
    </w:lvl>
    <w:lvl w:ilvl="8" w:tplc="04250005" w:tentative="1">
      <w:start w:val="1"/>
      <w:numFmt w:val="bullet"/>
      <w:lvlText w:val=""/>
      <w:lvlJc w:val="left"/>
      <w:pPr>
        <w:ind w:left="6870" w:hanging="360"/>
      </w:pPr>
      <w:rPr>
        <w:rFonts w:ascii="Wingdings" w:hAnsi="Wingdings" w:hint="default"/>
      </w:rPr>
    </w:lvl>
  </w:abstractNum>
  <w:abstractNum w:abstractNumId="41">
    <w:nsid w:val="6721304B"/>
    <w:multiLevelType w:val="hybridMultilevel"/>
    <w:tmpl w:val="ECF4C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7310109"/>
    <w:multiLevelType w:val="hybridMultilevel"/>
    <w:tmpl w:val="AEB8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6A574A38"/>
    <w:multiLevelType w:val="hybridMultilevel"/>
    <w:tmpl w:val="031495A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nsid w:val="6CA118FA"/>
    <w:multiLevelType w:val="hybridMultilevel"/>
    <w:tmpl w:val="C90A1284"/>
    <w:lvl w:ilvl="0" w:tplc="08090001">
      <w:start w:val="1"/>
      <w:numFmt w:val="bullet"/>
      <w:lvlText w:val=""/>
      <w:lvlJc w:val="left"/>
      <w:pPr>
        <w:ind w:left="720" w:hanging="360"/>
      </w:pPr>
      <w:rPr>
        <w:rFonts w:ascii="Symbol" w:hAnsi="Symbol" w:hint="default"/>
      </w:rPr>
    </w:lvl>
    <w:lvl w:ilvl="1" w:tplc="91B8D54C">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1AD48F4"/>
    <w:multiLevelType w:val="hybridMultilevel"/>
    <w:tmpl w:val="008A307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6">
    <w:nsid w:val="733E5198"/>
    <w:multiLevelType w:val="hybridMultilevel"/>
    <w:tmpl w:val="E6328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77BC3076"/>
    <w:multiLevelType w:val="hybridMultilevel"/>
    <w:tmpl w:val="BCA49A1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48">
    <w:nsid w:val="7827415F"/>
    <w:multiLevelType w:val="hybridMultilevel"/>
    <w:tmpl w:val="52C829B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9">
    <w:nsid w:val="782F71FE"/>
    <w:multiLevelType w:val="hybridMultilevel"/>
    <w:tmpl w:val="E1B2E71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0">
    <w:nsid w:val="7A154F82"/>
    <w:multiLevelType w:val="hybridMultilevel"/>
    <w:tmpl w:val="C6E01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7A281087"/>
    <w:multiLevelType w:val="hybridMultilevel"/>
    <w:tmpl w:val="98E29C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nsid w:val="7F581EA0"/>
    <w:multiLevelType w:val="hybridMultilevel"/>
    <w:tmpl w:val="D33416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5"/>
  </w:num>
  <w:num w:numId="2">
    <w:abstractNumId w:val="18"/>
  </w:num>
  <w:num w:numId="3">
    <w:abstractNumId w:val="20"/>
  </w:num>
  <w:num w:numId="4">
    <w:abstractNumId w:val="51"/>
  </w:num>
  <w:num w:numId="5">
    <w:abstractNumId w:val="15"/>
  </w:num>
  <w:num w:numId="6">
    <w:abstractNumId w:val="31"/>
  </w:num>
  <w:num w:numId="7">
    <w:abstractNumId w:val="35"/>
  </w:num>
  <w:num w:numId="8">
    <w:abstractNumId w:val="49"/>
  </w:num>
  <w:num w:numId="9">
    <w:abstractNumId w:val="1"/>
  </w:num>
  <w:num w:numId="10">
    <w:abstractNumId w:val="0"/>
  </w:num>
  <w:num w:numId="11">
    <w:abstractNumId w:val="29"/>
  </w:num>
  <w:num w:numId="12">
    <w:abstractNumId w:val="6"/>
  </w:num>
  <w:num w:numId="13">
    <w:abstractNumId w:val="19"/>
  </w:num>
  <w:num w:numId="14">
    <w:abstractNumId w:val="28"/>
  </w:num>
  <w:num w:numId="15">
    <w:abstractNumId w:val="27"/>
  </w:num>
  <w:num w:numId="16">
    <w:abstractNumId w:val="23"/>
  </w:num>
  <w:num w:numId="17">
    <w:abstractNumId w:val="24"/>
  </w:num>
  <w:num w:numId="18">
    <w:abstractNumId w:val="44"/>
  </w:num>
  <w:num w:numId="19">
    <w:abstractNumId w:val="12"/>
  </w:num>
  <w:num w:numId="20">
    <w:abstractNumId w:val="11"/>
  </w:num>
  <w:num w:numId="21">
    <w:abstractNumId w:val="41"/>
  </w:num>
  <w:num w:numId="22">
    <w:abstractNumId w:val="26"/>
  </w:num>
  <w:num w:numId="23">
    <w:abstractNumId w:val="50"/>
  </w:num>
  <w:num w:numId="24">
    <w:abstractNumId w:val="7"/>
  </w:num>
  <w:num w:numId="25">
    <w:abstractNumId w:val="42"/>
  </w:num>
  <w:num w:numId="26">
    <w:abstractNumId w:val="21"/>
  </w:num>
  <w:num w:numId="27">
    <w:abstractNumId w:val="13"/>
  </w:num>
  <w:num w:numId="28">
    <w:abstractNumId w:val="4"/>
  </w:num>
  <w:num w:numId="29">
    <w:abstractNumId w:val="48"/>
  </w:num>
  <w:num w:numId="30">
    <w:abstractNumId w:val="43"/>
  </w:num>
  <w:num w:numId="31">
    <w:abstractNumId w:val="2"/>
  </w:num>
  <w:num w:numId="32">
    <w:abstractNumId w:val="16"/>
  </w:num>
  <w:num w:numId="33">
    <w:abstractNumId w:val="30"/>
  </w:num>
  <w:num w:numId="34">
    <w:abstractNumId w:val="32"/>
  </w:num>
  <w:num w:numId="35">
    <w:abstractNumId w:val="37"/>
  </w:num>
  <w:num w:numId="36">
    <w:abstractNumId w:val="9"/>
  </w:num>
  <w:num w:numId="37">
    <w:abstractNumId w:val="22"/>
  </w:num>
  <w:num w:numId="38">
    <w:abstractNumId w:val="38"/>
  </w:num>
  <w:num w:numId="39">
    <w:abstractNumId w:val="40"/>
  </w:num>
  <w:num w:numId="40">
    <w:abstractNumId w:val="14"/>
  </w:num>
  <w:num w:numId="41">
    <w:abstractNumId w:val="33"/>
  </w:num>
  <w:num w:numId="42">
    <w:abstractNumId w:val="45"/>
  </w:num>
  <w:num w:numId="43">
    <w:abstractNumId w:val="5"/>
  </w:num>
  <w:num w:numId="44">
    <w:abstractNumId w:val="39"/>
  </w:num>
  <w:num w:numId="45">
    <w:abstractNumId w:val="52"/>
  </w:num>
  <w:num w:numId="46">
    <w:abstractNumId w:val="10"/>
  </w:num>
  <w:num w:numId="47">
    <w:abstractNumId w:val="3"/>
  </w:num>
  <w:num w:numId="48">
    <w:abstractNumId w:val="47"/>
  </w:num>
  <w:num w:numId="49">
    <w:abstractNumId w:val="36"/>
  </w:num>
  <w:num w:numId="50">
    <w:abstractNumId w:val="8"/>
  </w:num>
  <w:num w:numId="51">
    <w:abstractNumId w:val="17"/>
  </w:num>
  <w:num w:numId="52">
    <w:abstractNumId w:val="46"/>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96"/>
    <w:rsid w:val="00003A71"/>
    <w:rsid w:val="00007174"/>
    <w:rsid w:val="00007E43"/>
    <w:rsid w:val="00014A0B"/>
    <w:rsid w:val="00023C89"/>
    <w:rsid w:val="0003121C"/>
    <w:rsid w:val="00031EE5"/>
    <w:rsid w:val="000337CD"/>
    <w:rsid w:val="0003471F"/>
    <w:rsid w:val="00034843"/>
    <w:rsid w:val="00042580"/>
    <w:rsid w:val="00047FAE"/>
    <w:rsid w:val="0006529C"/>
    <w:rsid w:val="0006645B"/>
    <w:rsid w:val="000679AA"/>
    <w:rsid w:val="000744EB"/>
    <w:rsid w:val="00081E26"/>
    <w:rsid w:val="00091625"/>
    <w:rsid w:val="000941A5"/>
    <w:rsid w:val="00094B18"/>
    <w:rsid w:val="000960D3"/>
    <w:rsid w:val="000970A2"/>
    <w:rsid w:val="00097F72"/>
    <w:rsid w:val="000A008D"/>
    <w:rsid w:val="000A0E21"/>
    <w:rsid w:val="000A3254"/>
    <w:rsid w:val="000A4BCF"/>
    <w:rsid w:val="000A5452"/>
    <w:rsid w:val="000A748C"/>
    <w:rsid w:val="000B4BD4"/>
    <w:rsid w:val="000B7759"/>
    <w:rsid w:val="000B77A4"/>
    <w:rsid w:val="000C14D2"/>
    <w:rsid w:val="000C1868"/>
    <w:rsid w:val="000C4589"/>
    <w:rsid w:val="000C4878"/>
    <w:rsid w:val="000C6024"/>
    <w:rsid w:val="000C7790"/>
    <w:rsid w:val="000D0018"/>
    <w:rsid w:val="000D2A01"/>
    <w:rsid w:val="000D36D9"/>
    <w:rsid w:val="000D4758"/>
    <w:rsid w:val="000D6007"/>
    <w:rsid w:val="000E1272"/>
    <w:rsid w:val="000E3638"/>
    <w:rsid w:val="000E5D39"/>
    <w:rsid w:val="000F2B0D"/>
    <w:rsid w:val="000F5CE5"/>
    <w:rsid w:val="000F7DF0"/>
    <w:rsid w:val="00103A0E"/>
    <w:rsid w:val="001073F5"/>
    <w:rsid w:val="0011050B"/>
    <w:rsid w:val="00110ADF"/>
    <w:rsid w:val="001135A3"/>
    <w:rsid w:val="00125FBB"/>
    <w:rsid w:val="00134133"/>
    <w:rsid w:val="001348D9"/>
    <w:rsid w:val="00140723"/>
    <w:rsid w:val="001417FA"/>
    <w:rsid w:val="001420EA"/>
    <w:rsid w:val="001436A3"/>
    <w:rsid w:val="00144FE5"/>
    <w:rsid w:val="00145C83"/>
    <w:rsid w:val="00151D71"/>
    <w:rsid w:val="001521E6"/>
    <w:rsid w:val="00153300"/>
    <w:rsid w:val="001611A8"/>
    <w:rsid w:val="001621B1"/>
    <w:rsid w:val="001643D3"/>
    <w:rsid w:val="0016656F"/>
    <w:rsid w:val="00171062"/>
    <w:rsid w:val="0017399C"/>
    <w:rsid w:val="00182E99"/>
    <w:rsid w:val="001835D3"/>
    <w:rsid w:val="00183D10"/>
    <w:rsid w:val="001847A5"/>
    <w:rsid w:val="001850D3"/>
    <w:rsid w:val="001947EC"/>
    <w:rsid w:val="0019623F"/>
    <w:rsid w:val="001963FE"/>
    <w:rsid w:val="00196493"/>
    <w:rsid w:val="00197560"/>
    <w:rsid w:val="001A2AE2"/>
    <w:rsid w:val="001B2AF3"/>
    <w:rsid w:val="001C07F4"/>
    <w:rsid w:val="001C276F"/>
    <w:rsid w:val="001D2E66"/>
    <w:rsid w:val="001D31EF"/>
    <w:rsid w:val="001D63E1"/>
    <w:rsid w:val="001D7CCE"/>
    <w:rsid w:val="001D7FE9"/>
    <w:rsid w:val="001E3125"/>
    <w:rsid w:val="001E4E63"/>
    <w:rsid w:val="001E4F87"/>
    <w:rsid w:val="001F20A5"/>
    <w:rsid w:val="001F2763"/>
    <w:rsid w:val="001F64C8"/>
    <w:rsid w:val="0020432C"/>
    <w:rsid w:val="0021058D"/>
    <w:rsid w:val="00215E45"/>
    <w:rsid w:val="00224E11"/>
    <w:rsid w:val="00230510"/>
    <w:rsid w:val="00233256"/>
    <w:rsid w:val="00246B62"/>
    <w:rsid w:val="002529F3"/>
    <w:rsid w:val="00252C19"/>
    <w:rsid w:val="002533D2"/>
    <w:rsid w:val="00256958"/>
    <w:rsid w:val="00261612"/>
    <w:rsid w:val="00263952"/>
    <w:rsid w:val="002644C3"/>
    <w:rsid w:val="0026489C"/>
    <w:rsid w:val="00270FB5"/>
    <w:rsid w:val="00284178"/>
    <w:rsid w:val="00285645"/>
    <w:rsid w:val="0028639F"/>
    <w:rsid w:val="00290E02"/>
    <w:rsid w:val="00291C1A"/>
    <w:rsid w:val="002A3BC6"/>
    <w:rsid w:val="002A49BF"/>
    <w:rsid w:val="002B092D"/>
    <w:rsid w:val="002B0E20"/>
    <w:rsid w:val="002C1FE2"/>
    <w:rsid w:val="002C67FB"/>
    <w:rsid w:val="002E022B"/>
    <w:rsid w:val="002E025E"/>
    <w:rsid w:val="002E457D"/>
    <w:rsid w:val="002F3C09"/>
    <w:rsid w:val="002F4085"/>
    <w:rsid w:val="002F56ED"/>
    <w:rsid w:val="003033FC"/>
    <w:rsid w:val="00321C77"/>
    <w:rsid w:val="003254B1"/>
    <w:rsid w:val="00325BF7"/>
    <w:rsid w:val="00327AD9"/>
    <w:rsid w:val="00327C42"/>
    <w:rsid w:val="00331E25"/>
    <w:rsid w:val="003334DE"/>
    <w:rsid w:val="00334A2A"/>
    <w:rsid w:val="003353F0"/>
    <w:rsid w:val="0035250E"/>
    <w:rsid w:val="00355734"/>
    <w:rsid w:val="00355E17"/>
    <w:rsid w:val="00357857"/>
    <w:rsid w:val="00363D60"/>
    <w:rsid w:val="00367A40"/>
    <w:rsid w:val="00370D0B"/>
    <w:rsid w:val="003738BA"/>
    <w:rsid w:val="0037587C"/>
    <w:rsid w:val="00377649"/>
    <w:rsid w:val="00377775"/>
    <w:rsid w:val="00382614"/>
    <w:rsid w:val="00382716"/>
    <w:rsid w:val="003840B0"/>
    <w:rsid w:val="00384CC8"/>
    <w:rsid w:val="00386215"/>
    <w:rsid w:val="0038636B"/>
    <w:rsid w:val="00386808"/>
    <w:rsid w:val="0039615A"/>
    <w:rsid w:val="00396E60"/>
    <w:rsid w:val="003A7AB7"/>
    <w:rsid w:val="003B4968"/>
    <w:rsid w:val="003C63BC"/>
    <w:rsid w:val="003E34D9"/>
    <w:rsid w:val="003E6BD1"/>
    <w:rsid w:val="003E7E14"/>
    <w:rsid w:val="003F3CDB"/>
    <w:rsid w:val="0040063B"/>
    <w:rsid w:val="00403025"/>
    <w:rsid w:val="0040631E"/>
    <w:rsid w:val="00407D60"/>
    <w:rsid w:val="004104B3"/>
    <w:rsid w:val="004116D2"/>
    <w:rsid w:val="00413037"/>
    <w:rsid w:val="00415AD5"/>
    <w:rsid w:val="00416A38"/>
    <w:rsid w:val="00417A42"/>
    <w:rsid w:val="004217A2"/>
    <w:rsid w:val="00423859"/>
    <w:rsid w:val="004270C6"/>
    <w:rsid w:val="00433A8B"/>
    <w:rsid w:val="00440628"/>
    <w:rsid w:val="0044164A"/>
    <w:rsid w:val="00444D51"/>
    <w:rsid w:val="004467E1"/>
    <w:rsid w:val="00446F47"/>
    <w:rsid w:val="0044766D"/>
    <w:rsid w:val="00452A2E"/>
    <w:rsid w:val="00453A51"/>
    <w:rsid w:val="00460837"/>
    <w:rsid w:val="004672A4"/>
    <w:rsid w:val="00467530"/>
    <w:rsid w:val="00471561"/>
    <w:rsid w:val="00472AD0"/>
    <w:rsid w:val="0047525A"/>
    <w:rsid w:val="00476ED6"/>
    <w:rsid w:val="004816D4"/>
    <w:rsid w:val="00482917"/>
    <w:rsid w:val="004926DE"/>
    <w:rsid w:val="00492BD5"/>
    <w:rsid w:val="00497289"/>
    <w:rsid w:val="004A6194"/>
    <w:rsid w:val="004A7C28"/>
    <w:rsid w:val="004B0698"/>
    <w:rsid w:val="004B41D9"/>
    <w:rsid w:val="004B46A2"/>
    <w:rsid w:val="004C00E1"/>
    <w:rsid w:val="004C109C"/>
    <w:rsid w:val="004C3C73"/>
    <w:rsid w:val="004C4EE2"/>
    <w:rsid w:val="004C55D4"/>
    <w:rsid w:val="004C6A8D"/>
    <w:rsid w:val="004C6CA1"/>
    <w:rsid w:val="004D0131"/>
    <w:rsid w:val="004D4D4C"/>
    <w:rsid w:val="004D5071"/>
    <w:rsid w:val="004D669C"/>
    <w:rsid w:val="004E0200"/>
    <w:rsid w:val="004E6047"/>
    <w:rsid w:val="004F11B3"/>
    <w:rsid w:val="004F19F9"/>
    <w:rsid w:val="004F3003"/>
    <w:rsid w:val="004F42DA"/>
    <w:rsid w:val="00507C3E"/>
    <w:rsid w:val="00511959"/>
    <w:rsid w:val="0051278A"/>
    <w:rsid w:val="00515C8F"/>
    <w:rsid w:val="00523F34"/>
    <w:rsid w:val="0053311E"/>
    <w:rsid w:val="005344D1"/>
    <w:rsid w:val="00541803"/>
    <w:rsid w:val="00544979"/>
    <w:rsid w:val="00546D50"/>
    <w:rsid w:val="005471FA"/>
    <w:rsid w:val="005511D0"/>
    <w:rsid w:val="00551D26"/>
    <w:rsid w:val="005523E9"/>
    <w:rsid w:val="00553AD8"/>
    <w:rsid w:val="005572E7"/>
    <w:rsid w:val="00560434"/>
    <w:rsid w:val="00560437"/>
    <w:rsid w:val="00563066"/>
    <w:rsid w:val="0056792D"/>
    <w:rsid w:val="00573087"/>
    <w:rsid w:val="00576DC8"/>
    <w:rsid w:val="00581E50"/>
    <w:rsid w:val="005844CA"/>
    <w:rsid w:val="00596091"/>
    <w:rsid w:val="005A2F40"/>
    <w:rsid w:val="005A60C7"/>
    <w:rsid w:val="005B03D5"/>
    <w:rsid w:val="005B16E2"/>
    <w:rsid w:val="005B6511"/>
    <w:rsid w:val="005B724E"/>
    <w:rsid w:val="005C14AF"/>
    <w:rsid w:val="005C1F25"/>
    <w:rsid w:val="005C3790"/>
    <w:rsid w:val="005C6177"/>
    <w:rsid w:val="005D1A95"/>
    <w:rsid w:val="005E2B4E"/>
    <w:rsid w:val="005E3EFA"/>
    <w:rsid w:val="005E3FF0"/>
    <w:rsid w:val="005F7EAE"/>
    <w:rsid w:val="00611C35"/>
    <w:rsid w:val="00611CA7"/>
    <w:rsid w:val="006177A1"/>
    <w:rsid w:val="006242BA"/>
    <w:rsid w:val="006263D4"/>
    <w:rsid w:val="0063042E"/>
    <w:rsid w:val="00631D9A"/>
    <w:rsid w:val="00632CE3"/>
    <w:rsid w:val="00633C63"/>
    <w:rsid w:val="00637974"/>
    <w:rsid w:val="006379D3"/>
    <w:rsid w:val="00640916"/>
    <w:rsid w:val="006459DA"/>
    <w:rsid w:val="00650B8E"/>
    <w:rsid w:val="00652E12"/>
    <w:rsid w:val="0065694F"/>
    <w:rsid w:val="00662092"/>
    <w:rsid w:val="0066363C"/>
    <w:rsid w:val="00663701"/>
    <w:rsid w:val="00667FAF"/>
    <w:rsid w:val="00681215"/>
    <w:rsid w:val="0068706C"/>
    <w:rsid w:val="00691152"/>
    <w:rsid w:val="00694A3C"/>
    <w:rsid w:val="0069549A"/>
    <w:rsid w:val="00697742"/>
    <w:rsid w:val="006A35FE"/>
    <w:rsid w:val="006A699F"/>
    <w:rsid w:val="006A7A62"/>
    <w:rsid w:val="006B22C6"/>
    <w:rsid w:val="006B3543"/>
    <w:rsid w:val="006B574B"/>
    <w:rsid w:val="006B70FB"/>
    <w:rsid w:val="006C2C1C"/>
    <w:rsid w:val="006C2FAF"/>
    <w:rsid w:val="006D094D"/>
    <w:rsid w:val="006D1600"/>
    <w:rsid w:val="006D6F53"/>
    <w:rsid w:val="006D7633"/>
    <w:rsid w:val="006E1630"/>
    <w:rsid w:val="006E1B35"/>
    <w:rsid w:val="006E3AFC"/>
    <w:rsid w:val="006E6806"/>
    <w:rsid w:val="006E71FF"/>
    <w:rsid w:val="006E7609"/>
    <w:rsid w:val="006F7B79"/>
    <w:rsid w:val="00701CB2"/>
    <w:rsid w:val="0070332B"/>
    <w:rsid w:val="007035C9"/>
    <w:rsid w:val="00704922"/>
    <w:rsid w:val="00705A67"/>
    <w:rsid w:val="00705CAF"/>
    <w:rsid w:val="0071637D"/>
    <w:rsid w:val="0071710F"/>
    <w:rsid w:val="00722056"/>
    <w:rsid w:val="0072279B"/>
    <w:rsid w:val="00722F22"/>
    <w:rsid w:val="007314FB"/>
    <w:rsid w:val="0074210D"/>
    <w:rsid w:val="00743F6E"/>
    <w:rsid w:val="00743FA4"/>
    <w:rsid w:val="007449FD"/>
    <w:rsid w:val="00744D6E"/>
    <w:rsid w:val="007462DD"/>
    <w:rsid w:val="007467D4"/>
    <w:rsid w:val="00750C6B"/>
    <w:rsid w:val="00752228"/>
    <w:rsid w:val="007554C8"/>
    <w:rsid w:val="00756E76"/>
    <w:rsid w:val="00756F1E"/>
    <w:rsid w:val="00756FA0"/>
    <w:rsid w:val="007611C1"/>
    <w:rsid w:val="00762CFD"/>
    <w:rsid w:val="00764728"/>
    <w:rsid w:val="00775F90"/>
    <w:rsid w:val="00781F0D"/>
    <w:rsid w:val="00791223"/>
    <w:rsid w:val="00791911"/>
    <w:rsid w:val="0079311F"/>
    <w:rsid w:val="00797155"/>
    <w:rsid w:val="007A066D"/>
    <w:rsid w:val="007A0A30"/>
    <w:rsid w:val="007A45BC"/>
    <w:rsid w:val="007A4772"/>
    <w:rsid w:val="007A6404"/>
    <w:rsid w:val="007B11B4"/>
    <w:rsid w:val="007B47A3"/>
    <w:rsid w:val="007C20D1"/>
    <w:rsid w:val="007C247A"/>
    <w:rsid w:val="007C3EFD"/>
    <w:rsid w:val="007C4D42"/>
    <w:rsid w:val="007C64F7"/>
    <w:rsid w:val="007E31C2"/>
    <w:rsid w:val="007E4261"/>
    <w:rsid w:val="007E6FAB"/>
    <w:rsid w:val="007F0025"/>
    <w:rsid w:val="007F0909"/>
    <w:rsid w:val="00802968"/>
    <w:rsid w:val="008040BD"/>
    <w:rsid w:val="00805D9E"/>
    <w:rsid w:val="008065A9"/>
    <w:rsid w:val="008078B1"/>
    <w:rsid w:val="00820C48"/>
    <w:rsid w:val="008347A4"/>
    <w:rsid w:val="00836B91"/>
    <w:rsid w:val="00840D35"/>
    <w:rsid w:val="00843733"/>
    <w:rsid w:val="00843C08"/>
    <w:rsid w:val="00843D38"/>
    <w:rsid w:val="00846D59"/>
    <w:rsid w:val="00853C9D"/>
    <w:rsid w:val="00860A1B"/>
    <w:rsid w:val="008620F8"/>
    <w:rsid w:val="008664B9"/>
    <w:rsid w:val="00872BFC"/>
    <w:rsid w:val="00881DB0"/>
    <w:rsid w:val="008834E2"/>
    <w:rsid w:val="00887B5D"/>
    <w:rsid w:val="00890F5B"/>
    <w:rsid w:val="00892985"/>
    <w:rsid w:val="00894997"/>
    <w:rsid w:val="00896F59"/>
    <w:rsid w:val="008A0561"/>
    <w:rsid w:val="008A0A76"/>
    <w:rsid w:val="008A113A"/>
    <w:rsid w:val="008A312D"/>
    <w:rsid w:val="008A35F2"/>
    <w:rsid w:val="008B177E"/>
    <w:rsid w:val="008C693D"/>
    <w:rsid w:val="008D0B4D"/>
    <w:rsid w:val="008D0CA9"/>
    <w:rsid w:val="008D1776"/>
    <w:rsid w:val="008D3586"/>
    <w:rsid w:val="008D4A23"/>
    <w:rsid w:val="008D4D78"/>
    <w:rsid w:val="008E7ED5"/>
    <w:rsid w:val="008F0EB5"/>
    <w:rsid w:val="008F29F6"/>
    <w:rsid w:val="008F3696"/>
    <w:rsid w:val="008F40F5"/>
    <w:rsid w:val="00903DA4"/>
    <w:rsid w:val="00904E91"/>
    <w:rsid w:val="00912B45"/>
    <w:rsid w:val="00913917"/>
    <w:rsid w:val="00916340"/>
    <w:rsid w:val="00921FAF"/>
    <w:rsid w:val="009222C5"/>
    <w:rsid w:val="009230FC"/>
    <w:rsid w:val="0092460C"/>
    <w:rsid w:val="009254B6"/>
    <w:rsid w:val="00927261"/>
    <w:rsid w:val="00937147"/>
    <w:rsid w:val="00944725"/>
    <w:rsid w:val="009448B9"/>
    <w:rsid w:val="009468EB"/>
    <w:rsid w:val="00950CAB"/>
    <w:rsid w:val="009529B7"/>
    <w:rsid w:val="0095308E"/>
    <w:rsid w:val="0095339C"/>
    <w:rsid w:val="0095704E"/>
    <w:rsid w:val="009610F5"/>
    <w:rsid w:val="009619E2"/>
    <w:rsid w:val="009630E2"/>
    <w:rsid w:val="00963A8A"/>
    <w:rsid w:val="0096401B"/>
    <w:rsid w:val="009653DF"/>
    <w:rsid w:val="00966599"/>
    <w:rsid w:val="00971DF8"/>
    <w:rsid w:val="009758BE"/>
    <w:rsid w:val="00976452"/>
    <w:rsid w:val="00980199"/>
    <w:rsid w:val="00987952"/>
    <w:rsid w:val="0099440A"/>
    <w:rsid w:val="0099509B"/>
    <w:rsid w:val="009A1A46"/>
    <w:rsid w:val="009A503E"/>
    <w:rsid w:val="009B124B"/>
    <w:rsid w:val="009B2CDE"/>
    <w:rsid w:val="009B5797"/>
    <w:rsid w:val="009B68FD"/>
    <w:rsid w:val="009B6BD7"/>
    <w:rsid w:val="009C61DC"/>
    <w:rsid w:val="009D4A5B"/>
    <w:rsid w:val="009D4AB0"/>
    <w:rsid w:val="009D650C"/>
    <w:rsid w:val="009E2353"/>
    <w:rsid w:val="009E2F51"/>
    <w:rsid w:val="009E5914"/>
    <w:rsid w:val="009E65D7"/>
    <w:rsid w:val="009F1849"/>
    <w:rsid w:val="009F2D9C"/>
    <w:rsid w:val="009F6CD7"/>
    <w:rsid w:val="00A047F9"/>
    <w:rsid w:val="00A04E17"/>
    <w:rsid w:val="00A10013"/>
    <w:rsid w:val="00A1156E"/>
    <w:rsid w:val="00A14A03"/>
    <w:rsid w:val="00A24B96"/>
    <w:rsid w:val="00A24D36"/>
    <w:rsid w:val="00A27977"/>
    <w:rsid w:val="00A31F0D"/>
    <w:rsid w:val="00A338F5"/>
    <w:rsid w:val="00A36EFB"/>
    <w:rsid w:val="00A5105F"/>
    <w:rsid w:val="00A5324C"/>
    <w:rsid w:val="00A655B0"/>
    <w:rsid w:val="00A77462"/>
    <w:rsid w:val="00A841C6"/>
    <w:rsid w:val="00A8432B"/>
    <w:rsid w:val="00A8536E"/>
    <w:rsid w:val="00A86AA5"/>
    <w:rsid w:val="00A94EDE"/>
    <w:rsid w:val="00AA1EBB"/>
    <w:rsid w:val="00AA2B3F"/>
    <w:rsid w:val="00AA346B"/>
    <w:rsid w:val="00AA3967"/>
    <w:rsid w:val="00AA5366"/>
    <w:rsid w:val="00AA5CB4"/>
    <w:rsid w:val="00AA7D1C"/>
    <w:rsid w:val="00AB03F6"/>
    <w:rsid w:val="00AB40E6"/>
    <w:rsid w:val="00AB58B2"/>
    <w:rsid w:val="00AC066D"/>
    <w:rsid w:val="00AC43E6"/>
    <w:rsid w:val="00AC4FE5"/>
    <w:rsid w:val="00AD3F48"/>
    <w:rsid w:val="00AD41F7"/>
    <w:rsid w:val="00AD45F0"/>
    <w:rsid w:val="00AE3B02"/>
    <w:rsid w:val="00AE4656"/>
    <w:rsid w:val="00AE5D61"/>
    <w:rsid w:val="00AE6DF6"/>
    <w:rsid w:val="00AF188B"/>
    <w:rsid w:val="00AF75E4"/>
    <w:rsid w:val="00AF7BBA"/>
    <w:rsid w:val="00B0279B"/>
    <w:rsid w:val="00B03696"/>
    <w:rsid w:val="00B06866"/>
    <w:rsid w:val="00B06F6C"/>
    <w:rsid w:val="00B12417"/>
    <w:rsid w:val="00B14A53"/>
    <w:rsid w:val="00B14B21"/>
    <w:rsid w:val="00B16A3C"/>
    <w:rsid w:val="00B17565"/>
    <w:rsid w:val="00B17EF0"/>
    <w:rsid w:val="00B21B15"/>
    <w:rsid w:val="00B2270D"/>
    <w:rsid w:val="00B256FC"/>
    <w:rsid w:val="00B264F6"/>
    <w:rsid w:val="00B30AE5"/>
    <w:rsid w:val="00B32ED1"/>
    <w:rsid w:val="00B36E8D"/>
    <w:rsid w:val="00B42002"/>
    <w:rsid w:val="00B43999"/>
    <w:rsid w:val="00B45428"/>
    <w:rsid w:val="00B5312E"/>
    <w:rsid w:val="00B55086"/>
    <w:rsid w:val="00B56191"/>
    <w:rsid w:val="00B60BEF"/>
    <w:rsid w:val="00B628CC"/>
    <w:rsid w:val="00B72DB6"/>
    <w:rsid w:val="00B76FEA"/>
    <w:rsid w:val="00B95A75"/>
    <w:rsid w:val="00B9607E"/>
    <w:rsid w:val="00B961D6"/>
    <w:rsid w:val="00BA7D78"/>
    <w:rsid w:val="00BB162D"/>
    <w:rsid w:val="00BB1847"/>
    <w:rsid w:val="00BB231B"/>
    <w:rsid w:val="00BB317C"/>
    <w:rsid w:val="00BB3825"/>
    <w:rsid w:val="00BB41DE"/>
    <w:rsid w:val="00BB79DE"/>
    <w:rsid w:val="00BD01A6"/>
    <w:rsid w:val="00BD376E"/>
    <w:rsid w:val="00BD3BC1"/>
    <w:rsid w:val="00BD4922"/>
    <w:rsid w:val="00BD7B59"/>
    <w:rsid w:val="00BE43AC"/>
    <w:rsid w:val="00BF1C77"/>
    <w:rsid w:val="00BF652E"/>
    <w:rsid w:val="00C06531"/>
    <w:rsid w:val="00C138C8"/>
    <w:rsid w:val="00C15C5B"/>
    <w:rsid w:val="00C21045"/>
    <w:rsid w:val="00C23E84"/>
    <w:rsid w:val="00C26E79"/>
    <w:rsid w:val="00C26F46"/>
    <w:rsid w:val="00C30686"/>
    <w:rsid w:val="00C312D0"/>
    <w:rsid w:val="00C371E3"/>
    <w:rsid w:val="00C640CA"/>
    <w:rsid w:val="00C70521"/>
    <w:rsid w:val="00C71A9B"/>
    <w:rsid w:val="00C72334"/>
    <w:rsid w:val="00C73230"/>
    <w:rsid w:val="00C82E8A"/>
    <w:rsid w:val="00C8547D"/>
    <w:rsid w:val="00C92CA6"/>
    <w:rsid w:val="00C93B9D"/>
    <w:rsid w:val="00C94244"/>
    <w:rsid w:val="00CA3E59"/>
    <w:rsid w:val="00CD4EAF"/>
    <w:rsid w:val="00CD711D"/>
    <w:rsid w:val="00CD7C7D"/>
    <w:rsid w:val="00CE0125"/>
    <w:rsid w:val="00CE2398"/>
    <w:rsid w:val="00CF0404"/>
    <w:rsid w:val="00CF2E2C"/>
    <w:rsid w:val="00CF311F"/>
    <w:rsid w:val="00CF35D8"/>
    <w:rsid w:val="00CF5AF9"/>
    <w:rsid w:val="00D0521D"/>
    <w:rsid w:val="00D27824"/>
    <w:rsid w:val="00D309DB"/>
    <w:rsid w:val="00D31EDA"/>
    <w:rsid w:val="00D32799"/>
    <w:rsid w:val="00D33E3B"/>
    <w:rsid w:val="00D33EA8"/>
    <w:rsid w:val="00D345A5"/>
    <w:rsid w:val="00D345DA"/>
    <w:rsid w:val="00D363A9"/>
    <w:rsid w:val="00D36FC0"/>
    <w:rsid w:val="00D40157"/>
    <w:rsid w:val="00D42FA3"/>
    <w:rsid w:val="00D560B4"/>
    <w:rsid w:val="00D60FE0"/>
    <w:rsid w:val="00D61924"/>
    <w:rsid w:val="00D62A0D"/>
    <w:rsid w:val="00D6322E"/>
    <w:rsid w:val="00D6535E"/>
    <w:rsid w:val="00D74331"/>
    <w:rsid w:val="00D85264"/>
    <w:rsid w:val="00D85725"/>
    <w:rsid w:val="00D9093C"/>
    <w:rsid w:val="00D91A8D"/>
    <w:rsid w:val="00D9239E"/>
    <w:rsid w:val="00D925E6"/>
    <w:rsid w:val="00D9396A"/>
    <w:rsid w:val="00D94C40"/>
    <w:rsid w:val="00D96141"/>
    <w:rsid w:val="00D967C2"/>
    <w:rsid w:val="00DA5E1E"/>
    <w:rsid w:val="00DC11C3"/>
    <w:rsid w:val="00DD052A"/>
    <w:rsid w:val="00DD1312"/>
    <w:rsid w:val="00DD14FC"/>
    <w:rsid w:val="00DD1731"/>
    <w:rsid w:val="00DD2119"/>
    <w:rsid w:val="00DD2921"/>
    <w:rsid w:val="00DD3809"/>
    <w:rsid w:val="00DD6728"/>
    <w:rsid w:val="00DE1AEB"/>
    <w:rsid w:val="00DE5CC8"/>
    <w:rsid w:val="00DF1EBF"/>
    <w:rsid w:val="00DF2697"/>
    <w:rsid w:val="00DF2D3C"/>
    <w:rsid w:val="00DF3352"/>
    <w:rsid w:val="00DF7010"/>
    <w:rsid w:val="00E00335"/>
    <w:rsid w:val="00E00B13"/>
    <w:rsid w:val="00E01DF4"/>
    <w:rsid w:val="00E0738E"/>
    <w:rsid w:val="00E11356"/>
    <w:rsid w:val="00E15EEC"/>
    <w:rsid w:val="00E21F75"/>
    <w:rsid w:val="00E25DD0"/>
    <w:rsid w:val="00E27473"/>
    <w:rsid w:val="00E3095A"/>
    <w:rsid w:val="00E333EF"/>
    <w:rsid w:val="00E33E16"/>
    <w:rsid w:val="00E3612B"/>
    <w:rsid w:val="00E364C0"/>
    <w:rsid w:val="00E47CAF"/>
    <w:rsid w:val="00E5090D"/>
    <w:rsid w:val="00E51D17"/>
    <w:rsid w:val="00E628A5"/>
    <w:rsid w:val="00E65268"/>
    <w:rsid w:val="00E67AA8"/>
    <w:rsid w:val="00E7341F"/>
    <w:rsid w:val="00E741CA"/>
    <w:rsid w:val="00E76D69"/>
    <w:rsid w:val="00E76F69"/>
    <w:rsid w:val="00E77476"/>
    <w:rsid w:val="00E90438"/>
    <w:rsid w:val="00E9281C"/>
    <w:rsid w:val="00E93967"/>
    <w:rsid w:val="00E94CB5"/>
    <w:rsid w:val="00E97B53"/>
    <w:rsid w:val="00EA48A9"/>
    <w:rsid w:val="00EA5114"/>
    <w:rsid w:val="00EB04E5"/>
    <w:rsid w:val="00EB226F"/>
    <w:rsid w:val="00EB7083"/>
    <w:rsid w:val="00EC3041"/>
    <w:rsid w:val="00EC3747"/>
    <w:rsid w:val="00EC38A0"/>
    <w:rsid w:val="00EC42CA"/>
    <w:rsid w:val="00EC4B9D"/>
    <w:rsid w:val="00ED1CEB"/>
    <w:rsid w:val="00ED6F11"/>
    <w:rsid w:val="00EE0DAF"/>
    <w:rsid w:val="00EE0E74"/>
    <w:rsid w:val="00EE46BF"/>
    <w:rsid w:val="00EE51B3"/>
    <w:rsid w:val="00EE6268"/>
    <w:rsid w:val="00EE711E"/>
    <w:rsid w:val="00EF2B90"/>
    <w:rsid w:val="00F0079B"/>
    <w:rsid w:val="00F04511"/>
    <w:rsid w:val="00F0667B"/>
    <w:rsid w:val="00F12FD7"/>
    <w:rsid w:val="00F14A5B"/>
    <w:rsid w:val="00F22D6A"/>
    <w:rsid w:val="00F303F0"/>
    <w:rsid w:val="00F32922"/>
    <w:rsid w:val="00F32929"/>
    <w:rsid w:val="00F33C78"/>
    <w:rsid w:val="00F3792F"/>
    <w:rsid w:val="00F40152"/>
    <w:rsid w:val="00F4226B"/>
    <w:rsid w:val="00F44D30"/>
    <w:rsid w:val="00F51D39"/>
    <w:rsid w:val="00F526E4"/>
    <w:rsid w:val="00F55C0A"/>
    <w:rsid w:val="00F72AF1"/>
    <w:rsid w:val="00F73121"/>
    <w:rsid w:val="00F77FEE"/>
    <w:rsid w:val="00F81609"/>
    <w:rsid w:val="00F8342F"/>
    <w:rsid w:val="00F8535E"/>
    <w:rsid w:val="00F9432B"/>
    <w:rsid w:val="00F9693A"/>
    <w:rsid w:val="00F97A89"/>
    <w:rsid w:val="00FA5DA4"/>
    <w:rsid w:val="00FC021E"/>
    <w:rsid w:val="00FC0411"/>
    <w:rsid w:val="00FC048C"/>
    <w:rsid w:val="00FC059D"/>
    <w:rsid w:val="00FC60BA"/>
    <w:rsid w:val="00FD5434"/>
    <w:rsid w:val="00FD6A4D"/>
    <w:rsid w:val="00FD711A"/>
    <w:rsid w:val="00FE254A"/>
    <w:rsid w:val="00FE2605"/>
    <w:rsid w:val="00FF57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96"/>
  </w:style>
  <w:style w:type="paragraph" w:styleId="Heading1">
    <w:name w:val="heading 1"/>
    <w:basedOn w:val="Normal"/>
    <w:next w:val="Normal"/>
    <w:link w:val="Heading1Char"/>
    <w:uiPriority w:val="9"/>
    <w:qFormat/>
    <w:rsid w:val="0053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3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3696"/>
    <w:pPr>
      <w:ind w:left="720"/>
      <w:contextualSpacing/>
    </w:pPr>
  </w:style>
  <w:style w:type="character" w:styleId="CommentReference">
    <w:name w:val="annotation reference"/>
    <w:basedOn w:val="DefaultParagraphFont"/>
    <w:uiPriority w:val="99"/>
    <w:semiHidden/>
    <w:unhideWhenUsed/>
    <w:rsid w:val="00B03696"/>
    <w:rPr>
      <w:sz w:val="16"/>
      <w:szCs w:val="16"/>
    </w:rPr>
  </w:style>
  <w:style w:type="paragraph" w:styleId="CommentText">
    <w:name w:val="annotation text"/>
    <w:basedOn w:val="Normal"/>
    <w:link w:val="CommentTextChar"/>
    <w:uiPriority w:val="99"/>
    <w:unhideWhenUsed/>
    <w:rsid w:val="00B03696"/>
    <w:pPr>
      <w:spacing w:line="240" w:lineRule="auto"/>
    </w:pPr>
    <w:rPr>
      <w:sz w:val="20"/>
      <w:szCs w:val="20"/>
    </w:rPr>
  </w:style>
  <w:style w:type="character" w:customStyle="1" w:styleId="CommentTextChar">
    <w:name w:val="Comment Text Char"/>
    <w:basedOn w:val="DefaultParagraphFont"/>
    <w:link w:val="CommentText"/>
    <w:uiPriority w:val="99"/>
    <w:rsid w:val="00B03696"/>
    <w:rPr>
      <w:sz w:val="20"/>
      <w:szCs w:val="20"/>
    </w:rPr>
  </w:style>
  <w:style w:type="paragraph" w:styleId="BodyText">
    <w:name w:val="Body Text"/>
    <w:basedOn w:val="Normal"/>
    <w:link w:val="BodyTextChar"/>
    <w:rsid w:val="00B0369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3696"/>
    <w:rPr>
      <w:rFonts w:ascii="Times New Roman" w:eastAsia="Times New Roman" w:hAnsi="Times New Roman" w:cs="Times New Roman"/>
      <w:sz w:val="24"/>
      <w:szCs w:val="20"/>
    </w:rPr>
  </w:style>
  <w:style w:type="paragraph" w:styleId="ListBullet">
    <w:name w:val="List Bullet"/>
    <w:basedOn w:val="Normal"/>
    <w:uiPriority w:val="99"/>
    <w:unhideWhenUsed/>
    <w:rsid w:val="00B03696"/>
    <w:pPr>
      <w:numPr>
        <w:numId w:val="9"/>
      </w:numPr>
      <w:contextualSpacing/>
    </w:pPr>
  </w:style>
  <w:style w:type="paragraph" w:styleId="ListBullet2">
    <w:name w:val="List Bullet 2"/>
    <w:basedOn w:val="Normal"/>
    <w:uiPriority w:val="99"/>
    <w:unhideWhenUsed/>
    <w:rsid w:val="00B03696"/>
    <w:pPr>
      <w:numPr>
        <w:numId w:val="10"/>
      </w:numPr>
      <w:contextualSpacing/>
    </w:pPr>
  </w:style>
  <w:style w:type="paragraph" w:styleId="BalloonText">
    <w:name w:val="Balloon Text"/>
    <w:basedOn w:val="Normal"/>
    <w:link w:val="BalloonTextChar"/>
    <w:uiPriority w:val="99"/>
    <w:semiHidden/>
    <w:unhideWhenUsed/>
    <w:rsid w:val="00B0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96"/>
    <w:rPr>
      <w:rFonts w:ascii="Tahoma" w:hAnsi="Tahoma" w:cs="Tahoma"/>
      <w:sz w:val="16"/>
      <w:szCs w:val="16"/>
    </w:rPr>
  </w:style>
  <w:style w:type="paragraph" w:styleId="Header">
    <w:name w:val="header"/>
    <w:basedOn w:val="Normal"/>
    <w:link w:val="HeaderChar"/>
    <w:uiPriority w:val="99"/>
    <w:unhideWhenUsed/>
    <w:rsid w:val="00B036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696"/>
  </w:style>
  <w:style w:type="paragraph" w:styleId="Footer">
    <w:name w:val="footer"/>
    <w:basedOn w:val="Normal"/>
    <w:link w:val="FooterChar"/>
    <w:uiPriority w:val="99"/>
    <w:unhideWhenUsed/>
    <w:rsid w:val="00B036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696"/>
  </w:style>
  <w:style w:type="paragraph" w:styleId="CommentSubject">
    <w:name w:val="annotation subject"/>
    <w:basedOn w:val="CommentText"/>
    <w:next w:val="CommentText"/>
    <w:link w:val="CommentSubjectChar"/>
    <w:uiPriority w:val="99"/>
    <w:semiHidden/>
    <w:unhideWhenUsed/>
    <w:rsid w:val="00B03696"/>
    <w:rPr>
      <w:b/>
      <w:bCs/>
    </w:rPr>
  </w:style>
  <w:style w:type="character" w:customStyle="1" w:styleId="CommentSubjectChar">
    <w:name w:val="Comment Subject Char"/>
    <w:basedOn w:val="CommentTextChar"/>
    <w:link w:val="CommentSubject"/>
    <w:uiPriority w:val="99"/>
    <w:semiHidden/>
    <w:rsid w:val="00B03696"/>
    <w:rPr>
      <w:b/>
      <w:bCs/>
      <w:sz w:val="20"/>
      <w:szCs w:val="20"/>
    </w:rPr>
  </w:style>
  <w:style w:type="paragraph" w:styleId="FootnoteText">
    <w:name w:val="footnote text"/>
    <w:basedOn w:val="Normal"/>
    <w:link w:val="FootnoteTextChar"/>
    <w:uiPriority w:val="99"/>
    <w:unhideWhenUsed/>
    <w:rsid w:val="00B03696"/>
    <w:pPr>
      <w:spacing w:after="0" w:line="240" w:lineRule="auto"/>
    </w:pPr>
    <w:rPr>
      <w:sz w:val="20"/>
      <w:szCs w:val="20"/>
    </w:rPr>
  </w:style>
  <w:style w:type="character" w:customStyle="1" w:styleId="FootnoteTextChar">
    <w:name w:val="Footnote Text Char"/>
    <w:basedOn w:val="DefaultParagraphFont"/>
    <w:link w:val="FootnoteText"/>
    <w:uiPriority w:val="99"/>
    <w:rsid w:val="00B03696"/>
    <w:rPr>
      <w:sz w:val="20"/>
      <w:szCs w:val="20"/>
    </w:rPr>
  </w:style>
  <w:style w:type="character" w:styleId="FootnoteReference">
    <w:name w:val="footnote reference"/>
    <w:basedOn w:val="DefaultParagraphFont"/>
    <w:uiPriority w:val="99"/>
    <w:semiHidden/>
    <w:unhideWhenUsed/>
    <w:rsid w:val="00B03696"/>
    <w:rPr>
      <w:vertAlign w:val="superscript"/>
    </w:rPr>
  </w:style>
  <w:style w:type="table" w:styleId="TableGrid">
    <w:name w:val="Table Grid"/>
    <w:basedOn w:val="TableNormal"/>
    <w:uiPriority w:val="59"/>
    <w:rsid w:val="00B0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03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696"/>
    <w:rPr>
      <w:sz w:val="20"/>
      <w:szCs w:val="20"/>
    </w:rPr>
  </w:style>
  <w:style w:type="character" w:styleId="EndnoteReference">
    <w:name w:val="endnote reference"/>
    <w:basedOn w:val="DefaultParagraphFont"/>
    <w:uiPriority w:val="99"/>
    <w:semiHidden/>
    <w:unhideWhenUsed/>
    <w:rsid w:val="00B03696"/>
    <w:rPr>
      <w:vertAlign w:val="superscript"/>
    </w:rPr>
  </w:style>
  <w:style w:type="character" w:styleId="PlaceholderText">
    <w:name w:val="Placeholder Text"/>
    <w:basedOn w:val="DefaultParagraphFont"/>
    <w:uiPriority w:val="99"/>
    <w:semiHidden/>
    <w:rsid w:val="00B03696"/>
    <w:rPr>
      <w:color w:val="808080"/>
    </w:rPr>
  </w:style>
  <w:style w:type="character" w:styleId="Hyperlink">
    <w:name w:val="Hyperlink"/>
    <w:basedOn w:val="DefaultParagraphFont"/>
    <w:uiPriority w:val="99"/>
    <w:unhideWhenUsed/>
    <w:rsid w:val="00B03696"/>
    <w:rPr>
      <w:color w:val="0000FF" w:themeColor="hyperlink"/>
      <w:u w:val="single"/>
    </w:rPr>
  </w:style>
  <w:style w:type="paragraph" w:styleId="NormalWeb">
    <w:name w:val="Normal (Web)"/>
    <w:basedOn w:val="Normal"/>
    <w:uiPriority w:val="99"/>
    <w:semiHidden/>
    <w:unhideWhenUsed/>
    <w:rsid w:val="00B03696"/>
    <w:pPr>
      <w:spacing w:before="100" w:beforeAutospacing="1" w:after="100" w:afterAutospacing="1" w:line="240" w:lineRule="auto"/>
    </w:pPr>
    <w:rPr>
      <w:rFonts w:ascii="Times New Roman" w:eastAsia="Times New Roman" w:hAnsi="Times New Roman" w:cs="Times New Roman"/>
      <w:sz w:val="24"/>
      <w:szCs w:val="24"/>
      <w:lang w:eastAsia="et-EE"/>
    </w:rPr>
  </w:style>
  <w:style w:type="table" w:customStyle="1" w:styleId="TableGrid1">
    <w:name w:val="Table Grid1"/>
    <w:basedOn w:val="TableNormal"/>
    <w:next w:val="TableGrid"/>
    <w:uiPriority w:val="59"/>
    <w:rsid w:val="007F0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31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311E"/>
    <w:pPr>
      <w:outlineLvl w:val="9"/>
    </w:pPr>
    <w:rPr>
      <w:lang w:val="en-US" w:eastAsia="ja-JP"/>
    </w:rPr>
  </w:style>
  <w:style w:type="paragraph" w:styleId="TOC1">
    <w:name w:val="toc 1"/>
    <w:basedOn w:val="Normal"/>
    <w:next w:val="Normal"/>
    <w:autoRedefine/>
    <w:uiPriority w:val="39"/>
    <w:unhideWhenUsed/>
    <w:qFormat/>
    <w:rsid w:val="0053311E"/>
    <w:pPr>
      <w:spacing w:after="100"/>
    </w:pPr>
  </w:style>
  <w:style w:type="paragraph" w:styleId="TOC2">
    <w:name w:val="toc 2"/>
    <w:basedOn w:val="Normal"/>
    <w:next w:val="Normal"/>
    <w:autoRedefine/>
    <w:uiPriority w:val="39"/>
    <w:unhideWhenUsed/>
    <w:qFormat/>
    <w:rsid w:val="0053311E"/>
    <w:pPr>
      <w:spacing w:after="100"/>
      <w:ind w:left="220"/>
    </w:pPr>
  </w:style>
  <w:style w:type="paragraph" w:styleId="TOC3">
    <w:name w:val="toc 3"/>
    <w:basedOn w:val="Normal"/>
    <w:next w:val="Normal"/>
    <w:autoRedefine/>
    <w:uiPriority w:val="39"/>
    <w:unhideWhenUsed/>
    <w:qFormat/>
    <w:rsid w:val="0053311E"/>
    <w:pPr>
      <w:spacing w:after="100"/>
      <w:ind w:left="440"/>
    </w:pPr>
  </w:style>
  <w:style w:type="paragraph" w:styleId="Caption">
    <w:name w:val="caption"/>
    <w:basedOn w:val="Normal"/>
    <w:next w:val="Normal"/>
    <w:uiPriority w:val="35"/>
    <w:unhideWhenUsed/>
    <w:qFormat/>
    <w:rsid w:val="008C693D"/>
    <w:pPr>
      <w:spacing w:line="240" w:lineRule="auto"/>
    </w:pPr>
    <w:rPr>
      <w:b/>
      <w:bCs/>
      <w:color w:val="4F81BD" w:themeColor="accent1"/>
      <w:sz w:val="18"/>
      <w:szCs w:val="18"/>
    </w:rPr>
  </w:style>
  <w:style w:type="paragraph" w:styleId="NoSpacing">
    <w:name w:val="No Spacing"/>
    <w:link w:val="NoSpacingChar"/>
    <w:uiPriority w:val="1"/>
    <w:qFormat/>
    <w:rsid w:val="00A24B96"/>
    <w:pPr>
      <w:spacing w:after="0" w:line="240" w:lineRule="auto"/>
    </w:pPr>
  </w:style>
  <w:style w:type="character" w:customStyle="1" w:styleId="NoSpacingChar">
    <w:name w:val="No Spacing Char"/>
    <w:basedOn w:val="DefaultParagraphFont"/>
    <w:link w:val="NoSpacing"/>
    <w:uiPriority w:val="1"/>
    <w:rsid w:val="00AE3B02"/>
  </w:style>
  <w:style w:type="character" w:styleId="FollowedHyperlink">
    <w:name w:val="FollowedHyperlink"/>
    <w:basedOn w:val="DefaultParagraphFont"/>
    <w:uiPriority w:val="99"/>
    <w:semiHidden/>
    <w:unhideWhenUsed/>
    <w:rsid w:val="00667FAF"/>
    <w:rPr>
      <w:color w:val="800080" w:themeColor="followedHyperlink"/>
      <w:u w:val="single"/>
    </w:rPr>
  </w:style>
  <w:style w:type="character" w:customStyle="1" w:styleId="title4">
    <w:name w:val="title4"/>
    <w:basedOn w:val="DefaultParagraphFont"/>
    <w:rsid w:val="00DD6728"/>
  </w:style>
  <w:style w:type="character" w:customStyle="1" w:styleId="title1">
    <w:name w:val="title1"/>
    <w:basedOn w:val="DefaultParagraphFont"/>
    <w:rsid w:val="00DD6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96"/>
  </w:style>
  <w:style w:type="paragraph" w:styleId="Heading1">
    <w:name w:val="heading 1"/>
    <w:basedOn w:val="Normal"/>
    <w:next w:val="Normal"/>
    <w:link w:val="Heading1Char"/>
    <w:uiPriority w:val="9"/>
    <w:qFormat/>
    <w:rsid w:val="0053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369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3696"/>
    <w:pPr>
      <w:ind w:left="720"/>
      <w:contextualSpacing/>
    </w:pPr>
  </w:style>
  <w:style w:type="character" w:styleId="CommentReference">
    <w:name w:val="annotation reference"/>
    <w:basedOn w:val="DefaultParagraphFont"/>
    <w:uiPriority w:val="99"/>
    <w:semiHidden/>
    <w:unhideWhenUsed/>
    <w:rsid w:val="00B03696"/>
    <w:rPr>
      <w:sz w:val="16"/>
      <w:szCs w:val="16"/>
    </w:rPr>
  </w:style>
  <w:style w:type="paragraph" w:styleId="CommentText">
    <w:name w:val="annotation text"/>
    <w:basedOn w:val="Normal"/>
    <w:link w:val="CommentTextChar"/>
    <w:uiPriority w:val="99"/>
    <w:unhideWhenUsed/>
    <w:rsid w:val="00B03696"/>
    <w:pPr>
      <w:spacing w:line="240" w:lineRule="auto"/>
    </w:pPr>
    <w:rPr>
      <w:sz w:val="20"/>
      <w:szCs w:val="20"/>
    </w:rPr>
  </w:style>
  <w:style w:type="character" w:customStyle="1" w:styleId="CommentTextChar">
    <w:name w:val="Comment Text Char"/>
    <w:basedOn w:val="DefaultParagraphFont"/>
    <w:link w:val="CommentText"/>
    <w:uiPriority w:val="99"/>
    <w:rsid w:val="00B03696"/>
    <w:rPr>
      <w:sz w:val="20"/>
      <w:szCs w:val="20"/>
    </w:rPr>
  </w:style>
  <w:style w:type="paragraph" w:styleId="BodyText">
    <w:name w:val="Body Text"/>
    <w:basedOn w:val="Normal"/>
    <w:link w:val="BodyTextChar"/>
    <w:rsid w:val="00B0369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3696"/>
    <w:rPr>
      <w:rFonts w:ascii="Times New Roman" w:eastAsia="Times New Roman" w:hAnsi="Times New Roman" w:cs="Times New Roman"/>
      <w:sz w:val="24"/>
      <w:szCs w:val="20"/>
    </w:rPr>
  </w:style>
  <w:style w:type="paragraph" w:styleId="ListBullet">
    <w:name w:val="List Bullet"/>
    <w:basedOn w:val="Normal"/>
    <w:uiPriority w:val="99"/>
    <w:unhideWhenUsed/>
    <w:rsid w:val="00B03696"/>
    <w:pPr>
      <w:numPr>
        <w:numId w:val="9"/>
      </w:numPr>
      <w:contextualSpacing/>
    </w:pPr>
  </w:style>
  <w:style w:type="paragraph" w:styleId="ListBullet2">
    <w:name w:val="List Bullet 2"/>
    <w:basedOn w:val="Normal"/>
    <w:uiPriority w:val="99"/>
    <w:unhideWhenUsed/>
    <w:rsid w:val="00B03696"/>
    <w:pPr>
      <w:numPr>
        <w:numId w:val="10"/>
      </w:numPr>
      <w:contextualSpacing/>
    </w:pPr>
  </w:style>
  <w:style w:type="paragraph" w:styleId="BalloonText">
    <w:name w:val="Balloon Text"/>
    <w:basedOn w:val="Normal"/>
    <w:link w:val="BalloonTextChar"/>
    <w:uiPriority w:val="99"/>
    <w:semiHidden/>
    <w:unhideWhenUsed/>
    <w:rsid w:val="00B0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696"/>
    <w:rPr>
      <w:rFonts w:ascii="Tahoma" w:hAnsi="Tahoma" w:cs="Tahoma"/>
      <w:sz w:val="16"/>
      <w:szCs w:val="16"/>
    </w:rPr>
  </w:style>
  <w:style w:type="paragraph" w:styleId="Header">
    <w:name w:val="header"/>
    <w:basedOn w:val="Normal"/>
    <w:link w:val="HeaderChar"/>
    <w:uiPriority w:val="99"/>
    <w:unhideWhenUsed/>
    <w:rsid w:val="00B036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696"/>
  </w:style>
  <w:style w:type="paragraph" w:styleId="Footer">
    <w:name w:val="footer"/>
    <w:basedOn w:val="Normal"/>
    <w:link w:val="FooterChar"/>
    <w:uiPriority w:val="99"/>
    <w:unhideWhenUsed/>
    <w:rsid w:val="00B036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696"/>
  </w:style>
  <w:style w:type="paragraph" w:styleId="CommentSubject">
    <w:name w:val="annotation subject"/>
    <w:basedOn w:val="CommentText"/>
    <w:next w:val="CommentText"/>
    <w:link w:val="CommentSubjectChar"/>
    <w:uiPriority w:val="99"/>
    <w:semiHidden/>
    <w:unhideWhenUsed/>
    <w:rsid w:val="00B03696"/>
    <w:rPr>
      <w:b/>
      <w:bCs/>
    </w:rPr>
  </w:style>
  <w:style w:type="character" w:customStyle="1" w:styleId="CommentSubjectChar">
    <w:name w:val="Comment Subject Char"/>
    <w:basedOn w:val="CommentTextChar"/>
    <w:link w:val="CommentSubject"/>
    <w:uiPriority w:val="99"/>
    <w:semiHidden/>
    <w:rsid w:val="00B03696"/>
    <w:rPr>
      <w:b/>
      <w:bCs/>
      <w:sz w:val="20"/>
      <w:szCs w:val="20"/>
    </w:rPr>
  </w:style>
  <w:style w:type="paragraph" w:styleId="FootnoteText">
    <w:name w:val="footnote text"/>
    <w:basedOn w:val="Normal"/>
    <w:link w:val="FootnoteTextChar"/>
    <w:uiPriority w:val="99"/>
    <w:unhideWhenUsed/>
    <w:rsid w:val="00B03696"/>
    <w:pPr>
      <w:spacing w:after="0" w:line="240" w:lineRule="auto"/>
    </w:pPr>
    <w:rPr>
      <w:sz w:val="20"/>
      <w:szCs w:val="20"/>
    </w:rPr>
  </w:style>
  <w:style w:type="character" w:customStyle="1" w:styleId="FootnoteTextChar">
    <w:name w:val="Footnote Text Char"/>
    <w:basedOn w:val="DefaultParagraphFont"/>
    <w:link w:val="FootnoteText"/>
    <w:uiPriority w:val="99"/>
    <w:rsid w:val="00B03696"/>
    <w:rPr>
      <w:sz w:val="20"/>
      <w:szCs w:val="20"/>
    </w:rPr>
  </w:style>
  <w:style w:type="character" w:styleId="FootnoteReference">
    <w:name w:val="footnote reference"/>
    <w:basedOn w:val="DefaultParagraphFont"/>
    <w:uiPriority w:val="99"/>
    <w:semiHidden/>
    <w:unhideWhenUsed/>
    <w:rsid w:val="00B03696"/>
    <w:rPr>
      <w:vertAlign w:val="superscript"/>
    </w:rPr>
  </w:style>
  <w:style w:type="table" w:styleId="TableGrid">
    <w:name w:val="Table Grid"/>
    <w:basedOn w:val="TableNormal"/>
    <w:uiPriority w:val="59"/>
    <w:rsid w:val="00B0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03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696"/>
    <w:rPr>
      <w:sz w:val="20"/>
      <w:szCs w:val="20"/>
    </w:rPr>
  </w:style>
  <w:style w:type="character" w:styleId="EndnoteReference">
    <w:name w:val="endnote reference"/>
    <w:basedOn w:val="DefaultParagraphFont"/>
    <w:uiPriority w:val="99"/>
    <w:semiHidden/>
    <w:unhideWhenUsed/>
    <w:rsid w:val="00B03696"/>
    <w:rPr>
      <w:vertAlign w:val="superscript"/>
    </w:rPr>
  </w:style>
  <w:style w:type="character" w:styleId="PlaceholderText">
    <w:name w:val="Placeholder Text"/>
    <w:basedOn w:val="DefaultParagraphFont"/>
    <w:uiPriority w:val="99"/>
    <w:semiHidden/>
    <w:rsid w:val="00B03696"/>
    <w:rPr>
      <w:color w:val="808080"/>
    </w:rPr>
  </w:style>
  <w:style w:type="character" w:styleId="Hyperlink">
    <w:name w:val="Hyperlink"/>
    <w:basedOn w:val="DefaultParagraphFont"/>
    <w:uiPriority w:val="99"/>
    <w:unhideWhenUsed/>
    <w:rsid w:val="00B03696"/>
    <w:rPr>
      <w:color w:val="0000FF" w:themeColor="hyperlink"/>
      <w:u w:val="single"/>
    </w:rPr>
  </w:style>
  <w:style w:type="paragraph" w:styleId="NormalWeb">
    <w:name w:val="Normal (Web)"/>
    <w:basedOn w:val="Normal"/>
    <w:uiPriority w:val="99"/>
    <w:semiHidden/>
    <w:unhideWhenUsed/>
    <w:rsid w:val="00B03696"/>
    <w:pPr>
      <w:spacing w:before="100" w:beforeAutospacing="1" w:after="100" w:afterAutospacing="1" w:line="240" w:lineRule="auto"/>
    </w:pPr>
    <w:rPr>
      <w:rFonts w:ascii="Times New Roman" w:eastAsia="Times New Roman" w:hAnsi="Times New Roman" w:cs="Times New Roman"/>
      <w:sz w:val="24"/>
      <w:szCs w:val="24"/>
      <w:lang w:eastAsia="et-EE"/>
    </w:rPr>
  </w:style>
  <w:style w:type="table" w:customStyle="1" w:styleId="TableGrid1">
    <w:name w:val="Table Grid1"/>
    <w:basedOn w:val="TableNormal"/>
    <w:next w:val="TableGrid"/>
    <w:uiPriority w:val="59"/>
    <w:rsid w:val="007F0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31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311E"/>
    <w:pPr>
      <w:outlineLvl w:val="9"/>
    </w:pPr>
    <w:rPr>
      <w:lang w:val="en-US" w:eastAsia="ja-JP"/>
    </w:rPr>
  </w:style>
  <w:style w:type="paragraph" w:styleId="TOC1">
    <w:name w:val="toc 1"/>
    <w:basedOn w:val="Normal"/>
    <w:next w:val="Normal"/>
    <w:autoRedefine/>
    <w:uiPriority w:val="39"/>
    <w:unhideWhenUsed/>
    <w:qFormat/>
    <w:rsid w:val="0053311E"/>
    <w:pPr>
      <w:spacing w:after="100"/>
    </w:pPr>
  </w:style>
  <w:style w:type="paragraph" w:styleId="TOC2">
    <w:name w:val="toc 2"/>
    <w:basedOn w:val="Normal"/>
    <w:next w:val="Normal"/>
    <w:autoRedefine/>
    <w:uiPriority w:val="39"/>
    <w:unhideWhenUsed/>
    <w:qFormat/>
    <w:rsid w:val="0053311E"/>
    <w:pPr>
      <w:spacing w:after="100"/>
      <w:ind w:left="220"/>
    </w:pPr>
  </w:style>
  <w:style w:type="paragraph" w:styleId="TOC3">
    <w:name w:val="toc 3"/>
    <w:basedOn w:val="Normal"/>
    <w:next w:val="Normal"/>
    <w:autoRedefine/>
    <w:uiPriority w:val="39"/>
    <w:unhideWhenUsed/>
    <w:qFormat/>
    <w:rsid w:val="0053311E"/>
    <w:pPr>
      <w:spacing w:after="100"/>
      <w:ind w:left="440"/>
    </w:pPr>
  </w:style>
  <w:style w:type="paragraph" w:styleId="Caption">
    <w:name w:val="caption"/>
    <w:basedOn w:val="Normal"/>
    <w:next w:val="Normal"/>
    <w:uiPriority w:val="35"/>
    <w:unhideWhenUsed/>
    <w:qFormat/>
    <w:rsid w:val="008C693D"/>
    <w:pPr>
      <w:spacing w:line="240" w:lineRule="auto"/>
    </w:pPr>
    <w:rPr>
      <w:b/>
      <w:bCs/>
      <w:color w:val="4F81BD" w:themeColor="accent1"/>
      <w:sz w:val="18"/>
      <w:szCs w:val="18"/>
    </w:rPr>
  </w:style>
  <w:style w:type="paragraph" w:styleId="NoSpacing">
    <w:name w:val="No Spacing"/>
    <w:link w:val="NoSpacingChar"/>
    <w:uiPriority w:val="1"/>
    <w:qFormat/>
    <w:rsid w:val="00A24B96"/>
    <w:pPr>
      <w:spacing w:after="0" w:line="240" w:lineRule="auto"/>
    </w:pPr>
  </w:style>
  <w:style w:type="character" w:customStyle="1" w:styleId="NoSpacingChar">
    <w:name w:val="No Spacing Char"/>
    <w:basedOn w:val="DefaultParagraphFont"/>
    <w:link w:val="NoSpacing"/>
    <w:uiPriority w:val="1"/>
    <w:rsid w:val="00AE3B02"/>
  </w:style>
  <w:style w:type="character" w:styleId="FollowedHyperlink">
    <w:name w:val="FollowedHyperlink"/>
    <w:basedOn w:val="DefaultParagraphFont"/>
    <w:uiPriority w:val="99"/>
    <w:semiHidden/>
    <w:unhideWhenUsed/>
    <w:rsid w:val="00667FAF"/>
    <w:rPr>
      <w:color w:val="800080" w:themeColor="followedHyperlink"/>
      <w:u w:val="single"/>
    </w:rPr>
  </w:style>
  <w:style w:type="character" w:customStyle="1" w:styleId="title4">
    <w:name w:val="title4"/>
    <w:basedOn w:val="DefaultParagraphFont"/>
    <w:rsid w:val="00DD6728"/>
  </w:style>
  <w:style w:type="character" w:customStyle="1" w:styleId="title1">
    <w:name w:val="title1"/>
    <w:basedOn w:val="DefaultParagraphFont"/>
    <w:rsid w:val="00DD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254">
      <w:bodyDiv w:val="1"/>
      <w:marLeft w:val="0"/>
      <w:marRight w:val="0"/>
      <w:marTop w:val="0"/>
      <w:marBottom w:val="0"/>
      <w:divBdr>
        <w:top w:val="none" w:sz="0" w:space="0" w:color="auto"/>
        <w:left w:val="none" w:sz="0" w:space="0" w:color="auto"/>
        <w:bottom w:val="none" w:sz="0" w:space="0" w:color="auto"/>
        <w:right w:val="none" w:sz="0" w:space="0" w:color="auto"/>
      </w:divBdr>
    </w:div>
    <w:div w:id="319889964">
      <w:bodyDiv w:val="1"/>
      <w:marLeft w:val="0"/>
      <w:marRight w:val="0"/>
      <w:marTop w:val="0"/>
      <w:marBottom w:val="0"/>
      <w:divBdr>
        <w:top w:val="none" w:sz="0" w:space="0" w:color="auto"/>
        <w:left w:val="none" w:sz="0" w:space="0" w:color="auto"/>
        <w:bottom w:val="none" w:sz="0" w:space="0" w:color="auto"/>
        <w:right w:val="none" w:sz="0" w:space="0" w:color="auto"/>
      </w:divBdr>
    </w:div>
    <w:div w:id="377171353">
      <w:bodyDiv w:val="1"/>
      <w:marLeft w:val="0"/>
      <w:marRight w:val="0"/>
      <w:marTop w:val="0"/>
      <w:marBottom w:val="0"/>
      <w:divBdr>
        <w:top w:val="none" w:sz="0" w:space="0" w:color="auto"/>
        <w:left w:val="none" w:sz="0" w:space="0" w:color="auto"/>
        <w:bottom w:val="none" w:sz="0" w:space="0" w:color="auto"/>
        <w:right w:val="none" w:sz="0" w:space="0" w:color="auto"/>
      </w:divBdr>
    </w:div>
    <w:div w:id="526678602">
      <w:bodyDiv w:val="1"/>
      <w:marLeft w:val="0"/>
      <w:marRight w:val="0"/>
      <w:marTop w:val="0"/>
      <w:marBottom w:val="0"/>
      <w:divBdr>
        <w:top w:val="none" w:sz="0" w:space="0" w:color="auto"/>
        <w:left w:val="none" w:sz="0" w:space="0" w:color="auto"/>
        <w:bottom w:val="none" w:sz="0" w:space="0" w:color="auto"/>
        <w:right w:val="none" w:sz="0" w:space="0" w:color="auto"/>
      </w:divBdr>
    </w:div>
    <w:div w:id="863400115">
      <w:bodyDiv w:val="1"/>
      <w:marLeft w:val="0"/>
      <w:marRight w:val="0"/>
      <w:marTop w:val="0"/>
      <w:marBottom w:val="0"/>
      <w:divBdr>
        <w:top w:val="none" w:sz="0" w:space="0" w:color="auto"/>
        <w:left w:val="none" w:sz="0" w:space="0" w:color="auto"/>
        <w:bottom w:val="none" w:sz="0" w:space="0" w:color="auto"/>
        <w:right w:val="none" w:sz="0" w:space="0" w:color="auto"/>
      </w:divBdr>
    </w:div>
    <w:div w:id="1173567314">
      <w:bodyDiv w:val="1"/>
      <w:marLeft w:val="0"/>
      <w:marRight w:val="0"/>
      <w:marTop w:val="0"/>
      <w:marBottom w:val="0"/>
      <w:divBdr>
        <w:top w:val="none" w:sz="0" w:space="0" w:color="auto"/>
        <w:left w:val="none" w:sz="0" w:space="0" w:color="auto"/>
        <w:bottom w:val="none" w:sz="0" w:space="0" w:color="auto"/>
        <w:right w:val="none" w:sz="0" w:space="0" w:color="auto"/>
      </w:divBdr>
    </w:div>
    <w:div w:id="15644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ee/index.php?044810" TargetMode="Externa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ogu.ee/olemus-ja-roll/elukestva-oppe-strateegia/projekt-eesti-hariduse-viis-valjakutse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gu.ee/wp-content/uploads/2013/02/N%C3%B5ukoda-kk.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kogu.ee/wp-content/uploads/2013/02/Juhtkomisjon.pdf" TargetMode="Externa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kk.edu.ee/vvfiles/0/v6tmep2devuse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m.ee/index.php?popup=download&amp;id=11756" TargetMode="External"/><Relationship Id="rId2" Type="http://schemas.openxmlformats.org/officeDocument/2006/relationships/hyperlink" Target="http://www.hm.ee/index.php?048181" TargetMode="External"/><Relationship Id="rId1" Type="http://schemas.openxmlformats.org/officeDocument/2006/relationships/hyperlink" Target="http://www.hm.ee/index.php?048181" TargetMode="External"/><Relationship Id="rId6" Type="http://schemas.openxmlformats.org/officeDocument/2006/relationships/hyperlink" Target="file://C:\Users\epp\AppData\Local\Microsoft\Windows\Temporary%20Internet%20Files\Content.IE5\Q2U691YT\emakeeleoskus;%20v&#245;&#245;rkeelteoskus;%20matemaatikap&#228;devus%20ning%20teadmised%20teaduse%20ja%20tehnoloogia%20alustest;%20infotehnoloogiline%20p&#228;devus;%20&#245;pioskused;%20sotsiaalne%20ja%20kodanikup&#228;devus;%20algatusv&#245;ime%20ja%20ettev&#245;tlikkus;%20kultuuriteadlikkus%20ja%20kultuuriline%20v&#228;ljendusoskus.%20Strateegias%20on%20eriliselt%20r&#245;hutatud%20vajadust%20arendada%20loovust%20ja%20ettev&#245;tlikkust,%20probleemilahendus-%20ja%20meeskonnat&#246;&#246;%20oskusi,%20kriitilist%20m&#245;tlemist%20ja%20anal&#252;&#252;sioskust%20ning%20digip&#228;devusi." TargetMode="External"/><Relationship Id="rId5" Type="http://schemas.openxmlformats.org/officeDocument/2006/relationships/hyperlink" Target="https://ec.europa.eu/digital-agenda/sites/digital-agenda/files/DAE%20SCOREBOARD%202013%20-%203-INTERNET%20USE%20AND%20SKILLS.pdf" TargetMode="External"/><Relationship Id="rId4" Type="http://schemas.openxmlformats.org/officeDocument/2006/relationships/hyperlink" Target="http://vana.innove.ee/orb.aw/class=file/action=preview/id=36529/Karjaariteenuste_susteemi_uuring_loppraport.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22E33-8A2C-4183-BC4F-730849F3982D}" type="doc">
      <dgm:prSet loTypeId="urn:microsoft.com/office/officeart/2005/8/layout/radial1" loCatId="relationship" qsTypeId="urn:microsoft.com/office/officeart/2005/8/quickstyle/simple2" qsCatId="simple" csTypeId="urn:microsoft.com/office/officeart/2005/8/colors/colorful1" csCatId="colorful" phldr="1"/>
      <dgm:spPr/>
      <dgm:t>
        <a:bodyPr/>
        <a:lstStyle/>
        <a:p>
          <a:endParaRPr lang="et-EE"/>
        </a:p>
      </dgm:t>
    </dgm:pt>
    <dgm:pt modelId="{1D54189D-44B5-4A37-8E48-0127DF85CF2A}">
      <dgm:prSet phldrT="[Tekst]" custT="1"/>
      <dgm:spPr>
        <a:xfrm>
          <a:off x="1981202" y="1874533"/>
          <a:ext cx="2343712" cy="227297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1100" b="1" dirty="0" smtClean="0">
              <a:solidFill>
                <a:sysClr val="window" lastClr="FFFFFF"/>
              </a:solidFill>
              <a:latin typeface="Calibri"/>
              <a:ea typeface="+mn-ea"/>
              <a:cs typeface="+mn-cs"/>
            </a:rPr>
            <a:t>Elukestva õppe strateegia</a:t>
          </a:r>
        </a:p>
        <a:p>
          <a:r>
            <a:rPr lang="et-EE" sz="1100" dirty="0" smtClean="0">
              <a:solidFill>
                <a:sysClr val="window" lastClr="FFFFFF"/>
              </a:solidFill>
              <a:latin typeface="Calibri"/>
              <a:ea typeface="+mn-ea"/>
              <a:cs typeface="+mn-cs"/>
            </a:rPr>
            <a:t>- vajadustele ja võimalustele vastavad õpivõimalused kogu elukaare jooksul</a:t>
          </a:r>
        </a:p>
        <a:p>
          <a:r>
            <a:rPr lang="et-EE" sz="1100" dirty="0" smtClean="0">
              <a:solidFill>
                <a:sysClr val="window" lastClr="FFFFFF"/>
              </a:solidFill>
              <a:latin typeface="Calibri"/>
              <a:ea typeface="+mn-ea"/>
              <a:cs typeface="+mn-cs"/>
            </a:rPr>
            <a:t>-  fookus õpikäsituse muutusel ning tööturu ja õppe sisu vastavusel</a:t>
          </a:r>
        </a:p>
        <a:p>
          <a:r>
            <a:rPr lang="et-EE" sz="1100" dirty="0" smtClean="0">
              <a:solidFill>
                <a:sysClr val="window" lastClr="FFFFFF"/>
              </a:solidFill>
              <a:latin typeface="Calibri"/>
              <a:ea typeface="+mn-ea"/>
              <a:cs typeface="+mn-cs"/>
            </a:rPr>
            <a:t>- digipööre õppes</a:t>
          </a:r>
          <a:endParaRPr lang="et-EE" sz="1100" dirty="0">
            <a:solidFill>
              <a:sysClr val="window" lastClr="FFFFFF"/>
            </a:solidFill>
            <a:latin typeface="Calibri"/>
            <a:ea typeface="+mn-ea"/>
            <a:cs typeface="+mn-cs"/>
          </a:endParaRPr>
        </a:p>
      </dgm:t>
    </dgm:pt>
    <dgm:pt modelId="{3410A321-5C2E-4957-A154-1E5E860F8841}" type="parTrans" cxnId="{1FBD7059-A7E8-486C-AA69-82000AD2C236}">
      <dgm:prSet/>
      <dgm:spPr/>
      <dgm:t>
        <a:bodyPr/>
        <a:lstStyle/>
        <a:p>
          <a:endParaRPr lang="et-EE"/>
        </a:p>
      </dgm:t>
    </dgm:pt>
    <dgm:pt modelId="{077D1C9A-B8D5-4D0D-8659-012CBF6AF351}" type="sibTrans" cxnId="{1FBD7059-A7E8-486C-AA69-82000AD2C236}">
      <dgm:prSet/>
      <dgm:spPr/>
      <dgm:t>
        <a:bodyPr/>
        <a:lstStyle/>
        <a:p>
          <a:endParaRPr lang="et-EE"/>
        </a:p>
      </dgm:t>
    </dgm:pt>
    <dgm:pt modelId="{90D7469B-50B7-4E18-9FC7-638561BD773E}">
      <dgm:prSet phldrT="[Tekst]" custT="1"/>
      <dgm:spPr>
        <a:xfrm>
          <a:off x="1902156" y="-34075"/>
          <a:ext cx="2455526" cy="1027587"/>
        </a:xfr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1100" b="1" dirty="0" smtClean="0">
              <a:solidFill>
                <a:sysClr val="window" lastClr="FFFFFF"/>
              </a:solidFill>
              <a:latin typeface="Calibri"/>
              <a:ea typeface="+mn-ea"/>
              <a:cs typeface="+mn-cs"/>
            </a:rPr>
            <a:t>Eesti 2020</a:t>
          </a:r>
        </a:p>
        <a:p>
          <a:r>
            <a:rPr lang="et-EE" sz="1100" dirty="0" smtClean="0">
              <a:solidFill>
                <a:sysClr val="window" lastClr="FFFFFF"/>
              </a:solidFill>
              <a:latin typeface="Calibri"/>
              <a:ea typeface="+mn-ea"/>
              <a:cs typeface="+mn-cs"/>
            </a:rPr>
            <a:t>- teadmistepõhine ühiskond; haritud rahvas; </a:t>
          </a:r>
          <a:r>
            <a:rPr lang="et-EE" sz="1100" dirty="0" err="1" smtClean="0">
              <a:solidFill>
                <a:sysClr val="window" lastClr="FFFFFF"/>
              </a:solidFill>
              <a:latin typeface="Calibri"/>
              <a:ea typeface="+mn-ea"/>
              <a:cs typeface="+mn-cs"/>
            </a:rPr>
            <a:t> hariduse ja tööturu vastavus</a:t>
          </a:r>
          <a:endParaRPr lang="et-EE" sz="1100" dirty="0" smtClean="0">
            <a:solidFill>
              <a:sysClr val="window" lastClr="FFFFFF"/>
            </a:solidFill>
            <a:latin typeface="Calibri"/>
            <a:ea typeface="+mn-ea"/>
            <a:cs typeface="+mn-cs"/>
          </a:endParaRPr>
        </a:p>
        <a:p>
          <a:r>
            <a:rPr lang="et-EE" sz="1100" b="1" dirty="0" smtClean="0">
              <a:solidFill>
                <a:sysClr val="window" lastClr="FFFFFF"/>
              </a:solidFill>
              <a:latin typeface="Calibri"/>
              <a:ea typeface="+mn-ea"/>
              <a:cs typeface="+mn-cs"/>
            </a:rPr>
            <a:t>Säästev Eesti 21</a:t>
          </a:r>
        </a:p>
        <a:p>
          <a:r>
            <a:rPr lang="et-EE" sz="1100" dirty="0" smtClean="0">
              <a:solidFill>
                <a:sysClr val="window" lastClr="FFFFFF"/>
              </a:solidFill>
              <a:latin typeface="Calibri"/>
              <a:ea typeface="+mn-ea"/>
              <a:cs typeface="+mn-cs"/>
            </a:rPr>
            <a:t>- kestliku haridussüsteemi põhisuunad</a:t>
          </a:r>
          <a:endParaRPr lang="et-EE" sz="1100" dirty="0">
            <a:solidFill>
              <a:sysClr val="window" lastClr="FFFFFF"/>
            </a:solidFill>
            <a:latin typeface="Calibri"/>
            <a:ea typeface="+mn-ea"/>
            <a:cs typeface="+mn-cs"/>
          </a:endParaRPr>
        </a:p>
      </dgm:t>
    </dgm:pt>
    <dgm:pt modelId="{54ED8C89-3281-41F3-9972-0DD1CC09883A}" type="parTrans" cxnId="{78AFFF24-3144-4D24-A50F-121F02BD3C75}">
      <dgm:prSet custT="1"/>
      <dgm:spPr>
        <a:xfrm rot="16168577">
          <a:off x="2698090" y="1420526"/>
          <a:ext cx="881106"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D7C9B1C6-4E0F-47A5-9330-AA9B846285AB}" type="sibTrans" cxnId="{78AFFF24-3144-4D24-A50F-121F02BD3C75}">
      <dgm:prSet/>
      <dgm:spPr/>
      <dgm:t>
        <a:bodyPr/>
        <a:lstStyle/>
        <a:p>
          <a:endParaRPr lang="et-EE"/>
        </a:p>
      </dgm:t>
    </dgm:pt>
    <dgm:pt modelId="{5BFE085E-3342-482A-86C3-30F6ADC88E5D}">
      <dgm:prSet phldrT="[Tekst]" custT="1"/>
      <dgm:spPr>
        <a:xfrm>
          <a:off x="4870849" y="1540837"/>
          <a:ext cx="1254784" cy="1093875"/>
        </a:xfr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dirty="0" smtClean="0">
              <a:solidFill>
                <a:sysClr val="window" lastClr="FFFFFF"/>
              </a:solidFill>
              <a:latin typeface="Calibri"/>
              <a:ea typeface="+mn-ea"/>
              <a:cs typeface="+mn-cs"/>
            </a:rPr>
            <a:t>  Ettevõtluse kasvustrateegia (MKM)</a:t>
          </a:r>
        </a:p>
        <a:p>
          <a:r>
            <a:rPr lang="et-EE" sz="900" dirty="0" smtClean="0">
              <a:solidFill>
                <a:sysClr val="window" lastClr="FFFFFF"/>
              </a:solidFill>
              <a:latin typeface="Calibri"/>
              <a:ea typeface="+mn-ea"/>
              <a:cs typeface="+mn-cs"/>
            </a:rPr>
            <a:t> -innovatsioon ja ettevõtlus, fookus kasvualadele</a:t>
          </a:r>
          <a:endParaRPr lang="et-EE" sz="900" dirty="0">
            <a:solidFill>
              <a:sysClr val="window" lastClr="FFFFFF"/>
            </a:solidFill>
            <a:latin typeface="Calibri"/>
            <a:ea typeface="+mn-ea"/>
            <a:cs typeface="+mn-cs"/>
          </a:endParaRPr>
        </a:p>
      </dgm:t>
    </dgm:pt>
    <dgm:pt modelId="{0E4FCA12-CCC9-4C90-BC47-1C3AA753BF71}" type="parTrans" cxnId="{E9E3596B-F707-4DBA-BF1C-8FBD4F7E8E0C}">
      <dgm:prSet custT="1"/>
      <dgm:spPr>
        <a:xfrm rot="20310691">
          <a:off x="4213184" y="2434704"/>
          <a:ext cx="738946"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024077E9-247D-4A15-906D-6C17FD2724FF}" type="sibTrans" cxnId="{E9E3596B-F707-4DBA-BF1C-8FBD4F7E8E0C}">
      <dgm:prSet/>
      <dgm:spPr/>
      <dgm:t>
        <a:bodyPr/>
        <a:lstStyle/>
        <a:p>
          <a:endParaRPr lang="et-EE"/>
        </a:p>
      </dgm:t>
    </dgm:pt>
    <dgm:pt modelId="{7C638251-F530-4192-9A1F-692D5C0906E0}">
      <dgm:prSet phldrT="[Tekst]" custT="1"/>
      <dgm:spPr>
        <a:xfrm>
          <a:off x="0" y="3009038"/>
          <a:ext cx="1338501" cy="1156622"/>
        </a:xfr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dirty="0" smtClean="0">
              <a:solidFill>
                <a:sysClr val="window" lastClr="FFFFFF"/>
              </a:solidFill>
              <a:latin typeface="Calibri"/>
              <a:ea typeface="+mn-ea"/>
              <a:cs typeface="+mn-cs"/>
            </a:rPr>
            <a:t>TAI strateegia (HTM)</a:t>
          </a:r>
        </a:p>
        <a:p>
          <a:r>
            <a:rPr lang="et-EE" sz="900" dirty="0" smtClean="0">
              <a:solidFill>
                <a:sysClr val="window" lastClr="FFFFFF"/>
              </a:solidFill>
              <a:latin typeface="Calibri"/>
              <a:ea typeface="+mn-ea"/>
              <a:cs typeface="+mn-cs"/>
            </a:rPr>
            <a:t>- teadmistepõhine ja uuendusmeelne ühiskond</a:t>
          </a:r>
        </a:p>
        <a:p>
          <a:r>
            <a:rPr lang="et-EE" sz="900" dirty="0" smtClean="0">
              <a:solidFill>
                <a:sysClr val="window" lastClr="FFFFFF"/>
              </a:solidFill>
              <a:latin typeface="Calibri"/>
              <a:ea typeface="+mn-ea"/>
              <a:cs typeface="+mn-cs"/>
            </a:rPr>
            <a:t>- kasvuvaldkonnad</a:t>
          </a:r>
          <a:endParaRPr lang="et-EE" sz="900" dirty="0">
            <a:solidFill>
              <a:sysClr val="window" lastClr="FFFFFF"/>
            </a:solidFill>
            <a:latin typeface="Calibri"/>
            <a:ea typeface="+mn-ea"/>
            <a:cs typeface="+mn-cs"/>
          </a:endParaRPr>
        </a:p>
      </dgm:t>
    </dgm:pt>
    <dgm:pt modelId="{410FA465-5559-4207-9FD6-2A5ED1ED789F}" type="parTrans" cxnId="{1EB0AE25-1178-4BFD-9D08-AEEDAD5A8D57}">
      <dgm:prSet custT="1"/>
      <dgm:spPr>
        <a:xfrm rot="10016197">
          <a:off x="1306335" y="3342905"/>
          <a:ext cx="716300"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6DCF072A-54E8-4A2F-80FC-2A978FFF04AA}" type="sibTrans" cxnId="{1EB0AE25-1178-4BFD-9D08-AEEDAD5A8D57}">
      <dgm:prSet/>
      <dgm:spPr/>
      <dgm:t>
        <a:bodyPr/>
        <a:lstStyle/>
        <a:p>
          <a:endParaRPr lang="et-EE"/>
        </a:p>
      </dgm:t>
    </dgm:pt>
    <dgm:pt modelId="{E5128A31-D0D2-4FA9-BCF2-56F65544DAAA}">
      <dgm:prSet custT="1"/>
      <dgm:spPr>
        <a:xfrm>
          <a:off x="246049" y="832797"/>
          <a:ext cx="1419271" cy="1372263"/>
        </a:xfr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dirty="0" smtClean="0">
              <a:solidFill>
                <a:sysClr val="window" lastClr="FFFFFF"/>
              </a:solidFill>
              <a:latin typeface="Calibri"/>
              <a:ea typeface="+mn-ea"/>
              <a:cs typeface="+mn-cs"/>
            </a:rPr>
            <a:t>Regionaalarengu strateegia (SIM), Üleriigiline planeering Eesti 2030 (SIM)</a:t>
          </a:r>
        </a:p>
        <a:p>
          <a:r>
            <a:rPr lang="et-EE" sz="900" dirty="0" smtClean="0">
              <a:solidFill>
                <a:sysClr val="window" lastClr="FFFFFF"/>
              </a:solidFill>
              <a:latin typeface="Calibri"/>
              <a:ea typeface="+mn-ea"/>
              <a:cs typeface="+mn-cs"/>
            </a:rPr>
            <a:t>- hariduse kättesaadavus, haridusasutuste võrk</a:t>
          </a:r>
          <a:endParaRPr lang="et-EE" sz="900" dirty="0">
            <a:solidFill>
              <a:sysClr val="window" lastClr="FFFFFF"/>
            </a:solidFill>
            <a:latin typeface="Calibri"/>
            <a:ea typeface="+mn-ea"/>
            <a:cs typeface="+mn-cs"/>
          </a:endParaRPr>
        </a:p>
      </dgm:t>
    </dgm:pt>
    <dgm:pt modelId="{15AE7A05-B83B-4305-BD5F-060F2173224F}" type="parTrans" cxnId="{9550BCD4-EA33-4130-AA8A-533D853F424E}">
      <dgm:prSet custT="1"/>
      <dgm:spPr>
        <a:xfrm rot="12850673">
          <a:off x="1467870" y="2122708"/>
          <a:ext cx="793785"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AC78AD0C-D20E-456F-960D-2F6B9AABAF98}" type="sibTrans" cxnId="{9550BCD4-EA33-4130-AA8A-533D853F424E}">
      <dgm:prSet/>
      <dgm:spPr/>
      <dgm:t>
        <a:bodyPr/>
        <a:lstStyle/>
        <a:p>
          <a:endParaRPr lang="et-EE"/>
        </a:p>
      </dgm:t>
    </dgm:pt>
    <dgm:pt modelId="{03BD6F2D-B9EB-42D3-9A03-E81E15B7999A}">
      <dgm:prSet custT="1"/>
      <dgm:spPr>
        <a:xfrm>
          <a:off x="572646" y="4089208"/>
          <a:ext cx="1297931" cy="1132585"/>
        </a:xfr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dirty="0" smtClean="0">
              <a:solidFill>
                <a:sysClr val="window" lastClr="FFFFFF"/>
              </a:solidFill>
              <a:latin typeface="Calibri"/>
              <a:ea typeface="+mn-ea"/>
              <a:cs typeface="+mn-cs"/>
            </a:rPr>
            <a:t>Infoühiskonna arengukava (MKM)</a:t>
          </a:r>
        </a:p>
        <a:p>
          <a:r>
            <a:rPr lang="et-EE" sz="900" b="1" dirty="0" smtClean="0">
              <a:solidFill>
                <a:sysClr val="window" lastClr="FFFFFF"/>
              </a:solidFill>
              <a:latin typeface="Calibri"/>
              <a:ea typeface="+mn-ea"/>
              <a:cs typeface="+mn-cs"/>
            </a:rPr>
            <a:t>- IKT </a:t>
          </a:r>
          <a:r>
            <a:rPr lang="et-EE" sz="900" b="1" dirty="0" err="1" smtClean="0">
              <a:solidFill>
                <a:sysClr val="window" lastClr="FFFFFF"/>
              </a:solidFill>
              <a:latin typeface="Calibri"/>
              <a:ea typeface="+mn-ea"/>
              <a:cs typeface="+mn-cs"/>
            </a:rPr>
            <a:t>taristu</a:t>
          </a:r>
          <a:endParaRPr lang="et-EE" sz="900" b="1" dirty="0" smtClean="0">
            <a:solidFill>
              <a:sysClr val="window" lastClr="FFFFFF"/>
            </a:solidFill>
            <a:latin typeface="Calibri"/>
            <a:ea typeface="+mn-ea"/>
            <a:cs typeface="+mn-cs"/>
          </a:endParaRPr>
        </a:p>
        <a:p>
          <a:r>
            <a:rPr lang="et-EE" sz="900" b="1" dirty="0" smtClean="0">
              <a:solidFill>
                <a:sysClr val="window" lastClr="FFFFFF"/>
              </a:solidFill>
              <a:latin typeface="Calibri"/>
              <a:ea typeface="+mn-ea"/>
              <a:cs typeface="+mn-cs"/>
            </a:rPr>
            <a:t>-IKT Oskused</a:t>
          </a:r>
        </a:p>
        <a:p>
          <a:r>
            <a:rPr lang="et-EE" sz="900" b="1" dirty="0" smtClean="0">
              <a:solidFill>
                <a:sysClr val="window" lastClr="FFFFFF"/>
              </a:solidFill>
              <a:latin typeface="Calibri"/>
              <a:ea typeface="+mn-ea"/>
              <a:cs typeface="+mn-cs"/>
            </a:rPr>
            <a:t>- Taristu</a:t>
          </a:r>
          <a:endParaRPr lang="et-EE" sz="900" b="1" dirty="0">
            <a:solidFill>
              <a:sysClr val="window" lastClr="FFFFFF"/>
            </a:solidFill>
            <a:latin typeface="Calibri"/>
            <a:ea typeface="+mn-ea"/>
            <a:cs typeface="+mn-cs"/>
          </a:endParaRPr>
        </a:p>
      </dgm:t>
    </dgm:pt>
    <dgm:pt modelId="{E642C32B-F25A-4F3C-A121-1A968F7314DD}" type="parTrans" cxnId="{6D825486-158C-4FBE-B51F-A9AF802A1732}">
      <dgm:prSet custT="1"/>
      <dgm:spPr>
        <a:xfrm rot="8375289">
          <a:off x="1594238" y="3996903"/>
          <a:ext cx="770048"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8772DB40-A034-4AF5-A26A-5E92A07F9919}" type="sibTrans" cxnId="{6D825486-158C-4FBE-B51F-A9AF802A1732}">
      <dgm:prSet/>
      <dgm:spPr/>
      <dgm:t>
        <a:bodyPr/>
        <a:lstStyle/>
        <a:p>
          <a:endParaRPr lang="et-EE"/>
        </a:p>
      </dgm:t>
    </dgm:pt>
    <dgm:pt modelId="{B3F81787-9D02-407B-A5D4-86CBE0A56EEF}">
      <dgm:prSet custT="1"/>
      <dgm:spPr>
        <a:xfrm>
          <a:off x="4594231" y="2517194"/>
          <a:ext cx="1692268" cy="1391863"/>
        </a:xfr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t-EE" sz="900" b="1" dirty="0" smtClean="0">
            <a:solidFill>
              <a:sysClr val="window" lastClr="FFFFFF"/>
            </a:solidFill>
            <a:latin typeface="Calibri"/>
            <a:ea typeface="+mn-ea"/>
            <a:cs typeface="+mn-cs"/>
          </a:endParaRPr>
        </a:p>
        <a:p>
          <a:r>
            <a:rPr lang="et-EE" sz="900" b="1" dirty="0" smtClean="0">
              <a:solidFill>
                <a:sysClr val="window" lastClr="FFFFFF"/>
              </a:solidFill>
              <a:latin typeface="Calibri"/>
              <a:ea typeface="+mn-ea"/>
              <a:cs typeface="+mn-cs"/>
            </a:rPr>
            <a:t>Eesti keele arengukava (HTM)</a:t>
          </a:r>
        </a:p>
        <a:p>
          <a:r>
            <a:rPr lang="et-EE" sz="900" dirty="0" smtClean="0">
              <a:solidFill>
                <a:sysClr val="window" lastClr="FFFFFF"/>
              </a:solidFill>
              <a:latin typeface="Calibri"/>
              <a:ea typeface="+mn-ea"/>
              <a:cs typeface="+mn-cs"/>
            </a:rPr>
            <a:t>- elanike ühine suhtluskeel</a:t>
          </a:r>
        </a:p>
        <a:p>
          <a:r>
            <a:rPr lang="et-EE" sz="900" dirty="0" smtClean="0">
              <a:solidFill>
                <a:sysClr val="window" lastClr="FFFFFF"/>
              </a:solidFill>
              <a:latin typeface="Calibri"/>
              <a:ea typeface="+mn-ea"/>
              <a:cs typeface="+mn-cs"/>
            </a:rPr>
            <a:t>- eesti keele õpetamine, uurimine, arendamine ja kaitse</a:t>
          </a:r>
        </a:p>
        <a:p>
          <a:endParaRPr lang="et-EE" sz="900" dirty="0" smtClean="0">
            <a:solidFill>
              <a:sysClr val="window" lastClr="FFFFFF"/>
            </a:solidFill>
            <a:latin typeface="Calibri"/>
            <a:ea typeface="+mn-ea"/>
            <a:cs typeface="+mn-cs"/>
          </a:endParaRPr>
        </a:p>
      </dgm:t>
    </dgm:pt>
    <dgm:pt modelId="{61BFCCD0-6053-486E-88A8-2BCA25E1C1D5}" type="parTrans" cxnId="{D3EA872F-9535-4B60-BF97-AEE9DA581452}">
      <dgm:prSet custT="1"/>
      <dgm:spPr>
        <a:xfrm rot="302968">
          <a:off x="4319538" y="3112948"/>
          <a:ext cx="280077"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0B464927-B91D-4C27-B205-56986E1E60FC}" type="sibTrans" cxnId="{D3EA872F-9535-4B60-BF97-AEE9DA581452}">
      <dgm:prSet/>
      <dgm:spPr/>
      <dgm:t>
        <a:bodyPr/>
        <a:lstStyle/>
        <a:p>
          <a:endParaRPr lang="et-EE"/>
        </a:p>
      </dgm:t>
    </dgm:pt>
    <dgm:pt modelId="{5E8CEC91-F819-43DC-B9A9-DCD450870B77}">
      <dgm:prSet custT="1"/>
      <dgm:spPr>
        <a:xfrm>
          <a:off x="4610105" y="403862"/>
          <a:ext cx="1452420" cy="1323555"/>
        </a:xfr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a:solidFill>
                <a:sysClr val="window" lastClr="FFFFFF"/>
              </a:solidFill>
              <a:latin typeface="Calibri"/>
              <a:ea typeface="+mn-ea"/>
              <a:cs typeface="+mn-cs"/>
            </a:rPr>
            <a:t>Laste ja perede arengukava (SoM)</a:t>
          </a:r>
        </a:p>
        <a:p>
          <a:r>
            <a:rPr lang="et-EE" sz="900" b="1">
              <a:solidFill>
                <a:sysClr val="window" lastClr="FFFFFF"/>
              </a:solidFill>
              <a:latin typeface="Calibri"/>
              <a:ea typeface="+mn-ea"/>
              <a:cs typeface="+mn-cs"/>
            </a:rPr>
            <a:t>- iga lapse arengu toetamine</a:t>
          </a:r>
        </a:p>
        <a:p>
          <a:r>
            <a:rPr lang="et-EE" sz="900" b="1">
              <a:solidFill>
                <a:sysClr val="window" lastClr="FFFFFF"/>
              </a:solidFill>
              <a:latin typeface="Calibri"/>
              <a:ea typeface="+mn-ea"/>
              <a:cs typeface="+mn-cs"/>
            </a:rPr>
            <a:t>- teadmistepõhine laste- ja perepoliitika</a:t>
          </a:r>
          <a:endParaRPr lang="et-EE" sz="900">
            <a:solidFill>
              <a:sysClr val="window" lastClr="FFFFFF"/>
            </a:solidFill>
            <a:latin typeface="Calibri"/>
            <a:ea typeface="+mn-ea"/>
            <a:cs typeface="+mn-cs"/>
          </a:endParaRPr>
        </a:p>
      </dgm:t>
    </dgm:pt>
    <dgm:pt modelId="{879B7BB5-7833-4BE8-B620-0B28996165A6}" type="parTrans" cxnId="{D2102246-6F9F-4FEA-AE77-DFE9204D0DAF}">
      <dgm:prSet custT="1"/>
      <dgm:spPr>
        <a:xfrm rot="19097850">
          <a:off x="3880050" y="1871691"/>
          <a:ext cx="1072965"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7423A9DC-61A2-4C25-92F5-F76CFABD0D53}" type="sibTrans" cxnId="{D2102246-6F9F-4FEA-AE77-DFE9204D0DAF}">
      <dgm:prSet/>
      <dgm:spPr/>
      <dgm:t>
        <a:bodyPr/>
        <a:lstStyle/>
        <a:p>
          <a:endParaRPr lang="et-EE"/>
        </a:p>
      </dgm:t>
    </dgm:pt>
    <dgm:pt modelId="{CFAD7B80-67A9-4357-B354-25F214D9C9D0}">
      <dgm:prSet custT="1"/>
      <dgm:spPr>
        <a:xfrm>
          <a:off x="1697715" y="4100765"/>
          <a:ext cx="1339143" cy="1155282"/>
        </a:xfr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a:solidFill>
                <a:sysClr val="window" lastClr="FFFFFF"/>
              </a:solidFill>
              <a:latin typeface="Calibri"/>
              <a:ea typeface="+mn-ea"/>
              <a:cs typeface="+mn-cs"/>
            </a:rPr>
            <a:t>Lõimuv Eesti 2020 (KuM)</a:t>
          </a:r>
        </a:p>
        <a:p>
          <a:r>
            <a:rPr lang="et-EE" sz="900" b="0">
              <a:solidFill>
                <a:sysClr val="window" lastClr="FFFFFF"/>
              </a:solidFill>
              <a:latin typeface="Calibri"/>
              <a:ea typeface="+mn-ea"/>
              <a:cs typeface="+mn-cs"/>
            </a:rPr>
            <a:t>- sidus ühiskond;</a:t>
          </a:r>
        </a:p>
        <a:p>
          <a:r>
            <a:rPr lang="et-EE" sz="900" b="0">
              <a:solidFill>
                <a:sysClr val="window" lastClr="FFFFFF"/>
              </a:solidFill>
              <a:latin typeface="Calibri"/>
              <a:ea typeface="+mn-ea"/>
              <a:cs typeface="+mn-cs"/>
            </a:rPr>
            <a:t>-võrdsed haridusvõimalused</a:t>
          </a:r>
        </a:p>
        <a:p>
          <a:r>
            <a:rPr lang="et-EE" sz="900" b="0">
              <a:solidFill>
                <a:sysClr val="window" lastClr="FFFFFF"/>
              </a:solidFill>
              <a:latin typeface="Calibri"/>
              <a:ea typeface="+mn-ea"/>
              <a:cs typeface="+mn-cs"/>
            </a:rPr>
            <a:t>-Ühiskonnas osalemise soodustamine</a:t>
          </a:r>
        </a:p>
      </dgm:t>
    </dgm:pt>
    <dgm:pt modelId="{D70345FD-AADE-429E-9607-30B826B9C4A7}" type="parTrans" cxnId="{274127D4-0291-4C1B-A2B3-978A9023980C}">
      <dgm:prSet custT="1"/>
      <dgm:spPr>
        <a:xfrm rot="6913958">
          <a:off x="2588186" y="4080469"/>
          <a:ext cx="109030"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57CEAAF3-D166-45F9-9B33-78F42D752FF2}" type="sibTrans" cxnId="{274127D4-0291-4C1B-A2B3-978A9023980C}">
      <dgm:prSet/>
      <dgm:spPr/>
      <dgm:t>
        <a:bodyPr/>
        <a:lstStyle/>
        <a:p>
          <a:endParaRPr lang="et-EE"/>
        </a:p>
      </dgm:t>
    </dgm:pt>
    <dgm:pt modelId="{7640ACDF-DB5F-4F34-A123-BBF105FEFD1F}">
      <dgm:prSet custT="1"/>
      <dgm:spPr>
        <a:xfrm>
          <a:off x="2992897" y="4042711"/>
          <a:ext cx="1398076" cy="1313434"/>
        </a:xfr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t-EE" sz="900" b="1">
            <a:solidFill>
              <a:sysClr val="window" lastClr="FFFFFF"/>
            </a:solidFill>
            <a:latin typeface="Calibri"/>
            <a:ea typeface="+mn-ea"/>
            <a:cs typeface="+mn-cs"/>
          </a:endParaRPr>
        </a:p>
        <a:p>
          <a:r>
            <a:rPr lang="et-EE" sz="900" b="1">
              <a:solidFill>
                <a:sysClr val="window" lastClr="FFFFFF"/>
              </a:solidFill>
              <a:latin typeface="Calibri"/>
              <a:ea typeface="+mn-ea"/>
              <a:cs typeface="+mn-cs"/>
            </a:rPr>
            <a:t>Noortevaldkonna arengukava (HTM)</a:t>
          </a:r>
        </a:p>
        <a:p>
          <a:r>
            <a:rPr lang="et-EE" sz="900" b="0">
              <a:solidFill>
                <a:sysClr val="window" lastClr="FFFFFF"/>
              </a:solidFill>
              <a:latin typeface="Calibri"/>
              <a:ea typeface="+mn-ea"/>
              <a:cs typeface="+mn-cs"/>
            </a:rPr>
            <a:t>- võrdsed arenguvõimalused ja tööhõive;</a:t>
          </a:r>
        </a:p>
        <a:p>
          <a:r>
            <a:rPr lang="et-EE" sz="900" b="0">
              <a:solidFill>
                <a:sysClr val="window" lastClr="FFFFFF"/>
              </a:solidFill>
              <a:latin typeface="Calibri"/>
              <a:ea typeface="+mn-ea"/>
              <a:cs typeface="+mn-cs"/>
            </a:rPr>
            <a:t>- loovus ja aktiivne osalus</a:t>
          </a:r>
        </a:p>
        <a:p>
          <a:endParaRPr lang="et-EE" sz="900" b="1">
            <a:solidFill>
              <a:sysClr val="window" lastClr="FFFFFF"/>
            </a:solidFill>
            <a:latin typeface="Calibri"/>
            <a:ea typeface="+mn-ea"/>
            <a:cs typeface="+mn-cs"/>
          </a:endParaRPr>
        </a:p>
      </dgm:t>
    </dgm:pt>
    <dgm:pt modelId="{F665E85A-8E0D-4F39-9608-15B8646FD0C7}" type="parTrans" cxnId="{25A37878-B941-4157-9DFE-FFC4CB5517AC}">
      <dgm:prSet custT="1"/>
      <dgm:spPr>
        <a:xfrm rot="15137930">
          <a:off x="3481555" y="4070019"/>
          <a:ext cx="27620"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EB8C5245-D34F-4194-819C-940679EDDA5E}" type="sibTrans" cxnId="{25A37878-B941-4157-9DFE-FFC4CB5517AC}">
      <dgm:prSet/>
      <dgm:spPr/>
      <dgm:t>
        <a:bodyPr/>
        <a:lstStyle/>
        <a:p>
          <a:endParaRPr lang="et-EE"/>
        </a:p>
      </dgm:t>
    </dgm:pt>
    <dgm:pt modelId="{E8DC39C2-5753-4C92-8B18-465D70CE3298}">
      <dgm:prSet custT="1"/>
      <dgm:spPr>
        <a:xfrm>
          <a:off x="0" y="2100783"/>
          <a:ext cx="1536382" cy="1027842"/>
        </a:xfr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a:solidFill>
                <a:sysClr val="window" lastClr="FFFFFF"/>
              </a:solidFill>
              <a:latin typeface="Calibri"/>
              <a:ea typeface="+mn-ea"/>
              <a:cs typeface="+mn-cs"/>
            </a:rPr>
            <a:t>Aktiivsena vananemise arengukava</a:t>
          </a:r>
        </a:p>
        <a:p>
          <a:r>
            <a:rPr lang="et-EE" sz="900" b="1">
              <a:solidFill>
                <a:sysClr val="window" lastClr="FFFFFF"/>
              </a:solidFill>
              <a:latin typeface="Calibri"/>
              <a:ea typeface="+mn-ea"/>
              <a:cs typeface="+mn-cs"/>
            </a:rPr>
            <a:t>- e</a:t>
          </a:r>
          <a:r>
            <a:rPr lang="et-EE" sz="900" b="0">
              <a:solidFill>
                <a:sysClr val="window" lastClr="FFFFFF"/>
              </a:solidFill>
              <a:latin typeface="Calibri"/>
              <a:ea typeface="+mn-ea"/>
              <a:cs typeface="+mn-cs"/>
            </a:rPr>
            <a:t>lukestva õppe võimalused vanemas eas</a:t>
          </a:r>
        </a:p>
      </dgm:t>
    </dgm:pt>
    <dgm:pt modelId="{0C44FB1E-B7E4-4B3E-A9D4-1F69707F988D}" type="parTrans" cxnId="{2841F186-6A80-4E60-BB96-0575593F598A}">
      <dgm:prSet custT="1"/>
      <dgm:spPr>
        <a:xfrm rot="11366112">
          <a:off x="1510405" y="2765323"/>
          <a:ext cx="490951" cy="27033"/>
        </a:xfrm>
        <a:noFill/>
        <a:ln w="25400" cap="flat" cmpd="sng" algn="ctr">
          <a:solidFill>
            <a:srgbClr val="C0504D">
              <a:hueOff val="0"/>
              <a:satOff val="0"/>
              <a:lumOff val="0"/>
              <a:alphaOff val="0"/>
            </a:srgbClr>
          </a:solidFill>
          <a:prstDash val="solid"/>
        </a:ln>
        <a:effectLst/>
      </dgm:spPr>
      <dgm:t>
        <a:bodyPr/>
        <a:lstStyle/>
        <a:p>
          <a:endParaRPr lang="et-EE" sz="900">
            <a:solidFill>
              <a:sysClr val="windowText" lastClr="000000">
                <a:hueOff val="0"/>
                <a:satOff val="0"/>
                <a:lumOff val="0"/>
                <a:alphaOff val="0"/>
              </a:sysClr>
            </a:solidFill>
            <a:latin typeface="Calibri"/>
            <a:ea typeface="+mn-ea"/>
            <a:cs typeface="+mn-cs"/>
          </a:endParaRPr>
        </a:p>
      </dgm:t>
    </dgm:pt>
    <dgm:pt modelId="{8A7A5C4B-99DD-4E44-8EF5-2DFF47B6DE89}" type="sibTrans" cxnId="{2841F186-6A80-4E60-BB96-0575593F598A}">
      <dgm:prSet/>
      <dgm:spPr/>
      <dgm:t>
        <a:bodyPr/>
        <a:lstStyle/>
        <a:p>
          <a:endParaRPr lang="et-EE"/>
        </a:p>
      </dgm:t>
    </dgm:pt>
    <dgm:pt modelId="{C9B531F1-0C5B-4C49-B61A-55A8619CF41D}">
      <dgm:prSet custT="1"/>
      <dgm:spPr>
        <a:xfrm>
          <a:off x="4164335" y="3626516"/>
          <a:ext cx="1383026" cy="1167159"/>
        </a:xfr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t-EE" sz="900" b="1">
              <a:solidFill>
                <a:sysClr val="window" lastClr="FFFFFF"/>
              </a:solidFill>
              <a:latin typeface="Calibri"/>
              <a:ea typeface="+mn-ea"/>
              <a:cs typeface="+mn-cs"/>
            </a:rPr>
            <a:t>Kultuuripoliitika põhialused 2020 </a:t>
          </a:r>
        </a:p>
        <a:p>
          <a:r>
            <a:rPr lang="et-EE" sz="900">
              <a:solidFill>
                <a:sysClr val="window" lastClr="FFFFFF"/>
              </a:solidFill>
              <a:latin typeface="Calibri"/>
              <a:ea typeface="+mn-ea"/>
              <a:cs typeface="+mn-cs"/>
            </a:rPr>
            <a:t>-loovuse arendamine</a:t>
          </a:r>
        </a:p>
        <a:p>
          <a:r>
            <a:rPr lang="et-EE" sz="900">
              <a:solidFill>
                <a:sysClr val="window" lastClr="FFFFFF"/>
              </a:solidFill>
              <a:latin typeface="Calibri"/>
              <a:ea typeface="+mn-ea"/>
              <a:cs typeface="+mn-cs"/>
            </a:rPr>
            <a:t>-kultuuriasutused kui õpikeskkonnad</a:t>
          </a:r>
        </a:p>
      </dgm:t>
    </dgm:pt>
    <dgm:pt modelId="{39B592BE-F6BA-4406-82B2-4A73447A7002}" type="parTrans" cxnId="{D9F3EB02-D144-4ACF-ABED-DC0D703759CF}">
      <dgm:prSet/>
      <dgm:spPr>
        <a:xfrm rot="2109150">
          <a:off x="4076375" y="3743971"/>
          <a:ext cx="273458" cy="27033"/>
        </a:xfrm>
        <a:noFill/>
        <a:ln w="25400" cap="flat" cmpd="sng" algn="ctr">
          <a:solidFill>
            <a:srgbClr val="C0504D">
              <a:hueOff val="0"/>
              <a:satOff val="0"/>
              <a:lumOff val="0"/>
              <a:alphaOff val="0"/>
            </a:srgbClr>
          </a:solidFill>
          <a:prstDash val="solid"/>
        </a:ln>
        <a:effectLst/>
      </dgm:spPr>
      <dgm:t>
        <a:bodyPr/>
        <a:lstStyle/>
        <a:p>
          <a:endParaRPr lang="et-EE">
            <a:solidFill>
              <a:sysClr val="windowText" lastClr="000000">
                <a:hueOff val="0"/>
                <a:satOff val="0"/>
                <a:lumOff val="0"/>
                <a:alphaOff val="0"/>
              </a:sysClr>
            </a:solidFill>
            <a:latin typeface="Calibri"/>
            <a:ea typeface="+mn-ea"/>
            <a:cs typeface="+mn-cs"/>
          </a:endParaRPr>
        </a:p>
      </dgm:t>
    </dgm:pt>
    <dgm:pt modelId="{58F5933F-F29F-4075-8555-09D043D766C4}" type="sibTrans" cxnId="{D9F3EB02-D144-4ACF-ABED-DC0D703759CF}">
      <dgm:prSet/>
      <dgm:spPr/>
      <dgm:t>
        <a:bodyPr/>
        <a:lstStyle/>
        <a:p>
          <a:endParaRPr lang="et-EE"/>
        </a:p>
      </dgm:t>
    </dgm:pt>
    <dgm:pt modelId="{25213279-08CC-4203-B940-F43810872C37}" type="pres">
      <dgm:prSet presAssocID="{4D922E33-8A2C-4183-BC4F-730849F3982D}" presName="cycle" presStyleCnt="0">
        <dgm:presLayoutVars>
          <dgm:chMax val="1"/>
          <dgm:dir/>
          <dgm:animLvl val="ctr"/>
          <dgm:resizeHandles val="exact"/>
        </dgm:presLayoutVars>
      </dgm:prSet>
      <dgm:spPr/>
      <dgm:t>
        <a:bodyPr/>
        <a:lstStyle/>
        <a:p>
          <a:endParaRPr lang="et-EE"/>
        </a:p>
      </dgm:t>
    </dgm:pt>
    <dgm:pt modelId="{0C3A4BC1-EA74-413D-B6D4-CAF3E1DD595A}" type="pres">
      <dgm:prSet presAssocID="{1D54189D-44B5-4A37-8E48-0127DF85CF2A}" presName="centerShape" presStyleLbl="node0" presStyleIdx="0" presStyleCnt="1" custScaleX="248239" custScaleY="240747" custLinFactNeighborX="2251" custLinFactNeighborY="9292"/>
      <dgm:spPr>
        <a:prstGeom prst="ellipse">
          <a:avLst/>
        </a:prstGeom>
      </dgm:spPr>
      <dgm:t>
        <a:bodyPr/>
        <a:lstStyle/>
        <a:p>
          <a:endParaRPr lang="et-EE"/>
        </a:p>
      </dgm:t>
    </dgm:pt>
    <dgm:pt modelId="{510F9495-21C4-4887-8331-DE21A1DF0607}" type="pres">
      <dgm:prSet presAssocID="{54ED8C89-3281-41F3-9972-0DD1CC09883A}" presName="Name9" presStyleLbl="parChTrans1D2" presStyleIdx="0" presStyleCnt="11"/>
      <dgm:spPr>
        <a:custGeom>
          <a:avLst/>
          <a:gdLst/>
          <a:ahLst/>
          <a:cxnLst/>
          <a:rect l="0" t="0" r="0" b="0"/>
          <a:pathLst>
            <a:path>
              <a:moveTo>
                <a:pt x="0" y="13516"/>
              </a:moveTo>
              <a:lnTo>
                <a:pt x="881106" y="13516"/>
              </a:lnTo>
            </a:path>
          </a:pathLst>
        </a:custGeom>
      </dgm:spPr>
      <dgm:t>
        <a:bodyPr/>
        <a:lstStyle/>
        <a:p>
          <a:endParaRPr lang="et-EE"/>
        </a:p>
      </dgm:t>
    </dgm:pt>
    <dgm:pt modelId="{A2386CD7-2BD6-497D-90F3-9705798FAFFD}" type="pres">
      <dgm:prSet presAssocID="{54ED8C89-3281-41F3-9972-0DD1CC09883A}" presName="connTx" presStyleLbl="parChTrans1D2" presStyleIdx="0" presStyleCnt="11"/>
      <dgm:spPr/>
      <dgm:t>
        <a:bodyPr/>
        <a:lstStyle/>
        <a:p>
          <a:endParaRPr lang="et-EE"/>
        </a:p>
      </dgm:t>
    </dgm:pt>
    <dgm:pt modelId="{FFD9B24C-FCE4-4D94-8724-A5F49D5BE0EA}" type="pres">
      <dgm:prSet presAssocID="{90D7469B-50B7-4E18-9FC7-638561BD773E}" presName="node" presStyleLbl="node1" presStyleIdx="0" presStyleCnt="11" custScaleX="260082" custScaleY="108839" custRadScaleRad="97465" custRadScaleInc="12367">
        <dgm:presLayoutVars>
          <dgm:bulletEnabled val="1"/>
        </dgm:presLayoutVars>
      </dgm:prSet>
      <dgm:spPr>
        <a:prstGeom prst="roundRect">
          <a:avLst/>
        </a:prstGeom>
      </dgm:spPr>
      <dgm:t>
        <a:bodyPr/>
        <a:lstStyle/>
        <a:p>
          <a:endParaRPr lang="et-EE"/>
        </a:p>
      </dgm:t>
    </dgm:pt>
    <dgm:pt modelId="{0B3FE1C3-3C96-4C21-ACCD-6C95C53E66F1}" type="pres">
      <dgm:prSet presAssocID="{879B7BB5-7833-4BE8-B620-0B28996165A6}" presName="Name9" presStyleLbl="parChTrans1D2" presStyleIdx="1" presStyleCnt="11"/>
      <dgm:spPr>
        <a:custGeom>
          <a:avLst/>
          <a:gdLst/>
          <a:ahLst/>
          <a:cxnLst/>
          <a:rect l="0" t="0" r="0" b="0"/>
          <a:pathLst>
            <a:path>
              <a:moveTo>
                <a:pt x="0" y="13516"/>
              </a:moveTo>
              <a:lnTo>
                <a:pt x="1072965" y="13516"/>
              </a:lnTo>
            </a:path>
          </a:pathLst>
        </a:custGeom>
      </dgm:spPr>
      <dgm:t>
        <a:bodyPr/>
        <a:lstStyle/>
        <a:p>
          <a:endParaRPr lang="et-EE"/>
        </a:p>
      </dgm:t>
    </dgm:pt>
    <dgm:pt modelId="{27FBB5E2-5385-42C4-B9E8-8D856AE31D68}" type="pres">
      <dgm:prSet presAssocID="{879B7BB5-7833-4BE8-B620-0B28996165A6}" presName="connTx" presStyleLbl="parChTrans1D2" presStyleIdx="1" presStyleCnt="11"/>
      <dgm:spPr/>
      <dgm:t>
        <a:bodyPr/>
        <a:lstStyle/>
        <a:p>
          <a:endParaRPr lang="et-EE"/>
        </a:p>
      </dgm:t>
    </dgm:pt>
    <dgm:pt modelId="{54A5B3D1-E4FB-4105-998B-3E7F7BEBA61E}" type="pres">
      <dgm:prSet presAssocID="{5E8CEC91-F819-43DC-B9A9-DCD450870B77}" presName="node" presStyleLbl="node1" presStyleIdx="1" presStyleCnt="11" custScaleX="153836" custScaleY="140187" custRadScaleRad="126091" custRadScaleInc="101384">
        <dgm:presLayoutVars>
          <dgm:bulletEnabled val="1"/>
        </dgm:presLayoutVars>
      </dgm:prSet>
      <dgm:spPr>
        <a:prstGeom prst="ellipse">
          <a:avLst/>
        </a:prstGeom>
      </dgm:spPr>
      <dgm:t>
        <a:bodyPr/>
        <a:lstStyle/>
        <a:p>
          <a:endParaRPr lang="et-EE"/>
        </a:p>
      </dgm:t>
    </dgm:pt>
    <dgm:pt modelId="{7183CAC1-B44E-4E3E-946D-6F0DEEBE7BA9}" type="pres">
      <dgm:prSet presAssocID="{0E4FCA12-CCC9-4C90-BC47-1C3AA753BF71}" presName="Name9" presStyleLbl="parChTrans1D2" presStyleIdx="2" presStyleCnt="11"/>
      <dgm:spPr>
        <a:custGeom>
          <a:avLst/>
          <a:gdLst/>
          <a:ahLst/>
          <a:cxnLst/>
          <a:rect l="0" t="0" r="0" b="0"/>
          <a:pathLst>
            <a:path>
              <a:moveTo>
                <a:pt x="0" y="13516"/>
              </a:moveTo>
              <a:lnTo>
                <a:pt x="737939" y="13516"/>
              </a:lnTo>
            </a:path>
          </a:pathLst>
        </a:custGeom>
      </dgm:spPr>
      <dgm:t>
        <a:bodyPr/>
        <a:lstStyle/>
        <a:p>
          <a:endParaRPr lang="et-EE"/>
        </a:p>
      </dgm:t>
    </dgm:pt>
    <dgm:pt modelId="{3921F617-DCC3-4F73-8327-909DF90F8EF5}" type="pres">
      <dgm:prSet presAssocID="{0E4FCA12-CCC9-4C90-BC47-1C3AA753BF71}" presName="connTx" presStyleLbl="parChTrans1D2" presStyleIdx="2" presStyleCnt="11"/>
      <dgm:spPr/>
      <dgm:t>
        <a:bodyPr/>
        <a:lstStyle/>
        <a:p>
          <a:endParaRPr lang="et-EE"/>
        </a:p>
      </dgm:t>
    </dgm:pt>
    <dgm:pt modelId="{24752E6D-9C26-4442-BA34-E5E0F9B23B1A}" type="pres">
      <dgm:prSet presAssocID="{5BFE085E-3342-482A-86C3-30F6ADC88E5D}" presName="node" presStyleLbl="node1" presStyleIdx="2" presStyleCnt="11" custScaleX="132903" custScaleY="115860" custRadScaleRad="115841" custRadScaleInc="46305">
        <dgm:presLayoutVars>
          <dgm:bulletEnabled val="1"/>
        </dgm:presLayoutVars>
      </dgm:prSet>
      <dgm:spPr>
        <a:prstGeom prst="ellipse">
          <a:avLst/>
        </a:prstGeom>
      </dgm:spPr>
      <dgm:t>
        <a:bodyPr/>
        <a:lstStyle/>
        <a:p>
          <a:endParaRPr lang="et-EE"/>
        </a:p>
      </dgm:t>
    </dgm:pt>
    <dgm:pt modelId="{5259B20D-7701-46A6-AE51-329B6ADF82EF}" type="pres">
      <dgm:prSet presAssocID="{61BFCCD0-6053-486E-88A8-2BCA25E1C1D5}" presName="Name9" presStyleLbl="parChTrans1D2" presStyleIdx="3" presStyleCnt="11"/>
      <dgm:spPr>
        <a:custGeom>
          <a:avLst/>
          <a:gdLst/>
          <a:ahLst/>
          <a:cxnLst/>
          <a:rect l="0" t="0" r="0" b="0"/>
          <a:pathLst>
            <a:path>
              <a:moveTo>
                <a:pt x="0" y="13516"/>
              </a:moveTo>
              <a:lnTo>
                <a:pt x="280077" y="13516"/>
              </a:lnTo>
            </a:path>
          </a:pathLst>
        </a:custGeom>
      </dgm:spPr>
      <dgm:t>
        <a:bodyPr/>
        <a:lstStyle/>
        <a:p>
          <a:endParaRPr lang="et-EE"/>
        </a:p>
      </dgm:t>
    </dgm:pt>
    <dgm:pt modelId="{97B77C5C-8F08-44A6-B086-EDA0C553C466}" type="pres">
      <dgm:prSet presAssocID="{61BFCCD0-6053-486E-88A8-2BCA25E1C1D5}" presName="connTx" presStyleLbl="parChTrans1D2" presStyleIdx="3" presStyleCnt="11"/>
      <dgm:spPr/>
      <dgm:t>
        <a:bodyPr/>
        <a:lstStyle/>
        <a:p>
          <a:endParaRPr lang="et-EE"/>
        </a:p>
      </dgm:t>
    </dgm:pt>
    <dgm:pt modelId="{23D5628D-1F59-41D4-AE7D-CF6F82568C68}" type="pres">
      <dgm:prSet presAssocID="{B3F81787-9D02-407B-A5D4-86CBE0A56EEF}" presName="node" presStyleLbl="node1" presStyleIdx="3" presStyleCnt="11" custScaleX="179240" custScaleY="147422" custRadScaleRad="110827" custRadScaleInc="5105">
        <dgm:presLayoutVars>
          <dgm:bulletEnabled val="1"/>
        </dgm:presLayoutVars>
      </dgm:prSet>
      <dgm:spPr>
        <a:prstGeom prst="ellipse">
          <a:avLst/>
        </a:prstGeom>
      </dgm:spPr>
      <dgm:t>
        <a:bodyPr/>
        <a:lstStyle/>
        <a:p>
          <a:endParaRPr lang="et-EE"/>
        </a:p>
      </dgm:t>
    </dgm:pt>
    <dgm:pt modelId="{CDB63CB6-529C-4A56-BA5D-E768C56AB536}" type="pres">
      <dgm:prSet presAssocID="{39B592BE-F6BA-4406-82B2-4A73447A7002}" presName="Name9" presStyleLbl="parChTrans1D2" presStyleIdx="4" presStyleCnt="11"/>
      <dgm:spPr>
        <a:custGeom>
          <a:avLst/>
          <a:gdLst/>
          <a:ahLst/>
          <a:cxnLst/>
          <a:rect l="0" t="0" r="0" b="0"/>
          <a:pathLst>
            <a:path>
              <a:moveTo>
                <a:pt x="0" y="13516"/>
              </a:moveTo>
              <a:lnTo>
                <a:pt x="273458" y="13516"/>
              </a:lnTo>
            </a:path>
          </a:pathLst>
        </a:custGeom>
      </dgm:spPr>
      <dgm:t>
        <a:bodyPr/>
        <a:lstStyle/>
        <a:p>
          <a:endParaRPr lang="et-EE"/>
        </a:p>
      </dgm:t>
    </dgm:pt>
    <dgm:pt modelId="{BF2D829E-0678-4029-BDFB-2909631E59A9}" type="pres">
      <dgm:prSet presAssocID="{39B592BE-F6BA-4406-82B2-4A73447A7002}" presName="connTx" presStyleLbl="parChTrans1D2" presStyleIdx="4" presStyleCnt="11"/>
      <dgm:spPr/>
      <dgm:t>
        <a:bodyPr/>
        <a:lstStyle/>
        <a:p>
          <a:endParaRPr lang="et-EE"/>
        </a:p>
      </dgm:t>
    </dgm:pt>
    <dgm:pt modelId="{AAEDF2BB-8FE7-485B-8EEF-70F6ABB8C1EE}" type="pres">
      <dgm:prSet presAssocID="{C9B531F1-0C5B-4C49-B61A-55A8619CF41D}" presName="node" presStyleLbl="node1" presStyleIdx="4" presStyleCnt="11" custScaleX="146486" custScaleY="123622" custRadScaleRad="107508" custRadScaleInc="-28996">
        <dgm:presLayoutVars>
          <dgm:bulletEnabled val="1"/>
        </dgm:presLayoutVars>
      </dgm:prSet>
      <dgm:spPr>
        <a:prstGeom prst="ellipse">
          <a:avLst/>
        </a:prstGeom>
      </dgm:spPr>
      <dgm:t>
        <a:bodyPr/>
        <a:lstStyle/>
        <a:p>
          <a:endParaRPr lang="et-EE"/>
        </a:p>
      </dgm:t>
    </dgm:pt>
    <dgm:pt modelId="{ABA33A93-2B86-4F09-8556-C5485B67593A}" type="pres">
      <dgm:prSet presAssocID="{F665E85A-8E0D-4F39-9608-15B8646FD0C7}" presName="Name9" presStyleLbl="parChTrans1D2" presStyleIdx="5" presStyleCnt="11"/>
      <dgm:spPr>
        <a:custGeom>
          <a:avLst/>
          <a:gdLst/>
          <a:ahLst/>
          <a:cxnLst/>
          <a:rect l="0" t="0" r="0" b="0"/>
          <a:pathLst>
            <a:path>
              <a:moveTo>
                <a:pt x="0" y="13516"/>
              </a:moveTo>
              <a:lnTo>
                <a:pt x="27620" y="13516"/>
              </a:lnTo>
            </a:path>
          </a:pathLst>
        </a:custGeom>
      </dgm:spPr>
      <dgm:t>
        <a:bodyPr/>
        <a:lstStyle/>
        <a:p>
          <a:endParaRPr lang="et-EE"/>
        </a:p>
      </dgm:t>
    </dgm:pt>
    <dgm:pt modelId="{BA29A674-9E40-423C-9FAE-B9A07393D405}" type="pres">
      <dgm:prSet presAssocID="{F665E85A-8E0D-4F39-9608-15B8646FD0C7}" presName="connTx" presStyleLbl="parChTrans1D2" presStyleIdx="5" presStyleCnt="11"/>
      <dgm:spPr/>
      <dgm:t>
        <a:bodyPr/>
        <a:lstStyle/>
        <a:p>
          <a:endParaRPr lang="et-EE"/>
        </a:p>
      </dgm:t>
    </dgm:pt>
    <dgm:pt modelId="{292ED431-83F2-4EC5-8AD0-7B897CCBD414}" type="pres">
      <dgm:prSet presAssocID="{7640ACDF-DB5F-4F34-A123-BBF105FEFD1F}" presName="node" presStyleLbl="node1" presStyleIdx="5" presStyleCnt="11" custScaleX="148080" custScaleY="139115" custRadScaleRad="106127" custRadScaleInc="-35516">
        <dgm:presLayoutVars>
          <dgm:bulletEnabled val="1"/>
        </dgm:presLayoutVars>
      </dgm:prSet>
      <dgm:spPr>
        <a:prstGeom prst="ellipse">
          <a:avLst/>
        </a:prstGeom>
      </dgm:spPr>
      <dgm:t>
        <a:bodyPr/>
        <a:lstStyle/>
        <a:p>
          <a:endParaRPr lang="et-EE"/>
        </a:p>
      </dgm:t>
    </dgm:pt>
    <dgm:pt modelId="{01577978-A14D-4E06-BAB0-E617D99676A5}" type="pres">
      <dgm:prSet presAssocID="{D70345FD-AADE-429E-9607-30B826B9C4A7}" presName="Name9" presStyleLbl="parChTrans1D2" presStyleIdx="6" presStyleCnt="11"/>
      <dgm:spPr>
        <a:custGeom>
          <a:avLst/>
          <a:gdLst/>
          <a:ahLst/>
          <a:cxnLst/>
          <a:rect l="0" t="0" r="0" b="0"/>
          <a:pathLst>
            <a:path>
              <a:moveTo>
                <a:pt x="0" y="13516"/>
              </a:moveTo>
              <a:lnTo>
                <a:pt x="109030" y="13516"/>
              </a:lnTo>
            </a:path>
          </a:pathLst>
        </a:custGeom>
      </dgm:spPr>
      <dgm:t>
        <a:bodyPr/>
        <a:lstStyle/>
        <a:p>
          <a:endParaRPr lang="et-EE"/>
        </a:p>
      </dgm:t>
    </dgm:pt>
    <dgm:pt modelId="{048E457D-43F4-4DDF-84E0-61EB0BB7071F}" type="pres">
      <dgm:prSet presAssocID="{D70345FD-AADE-429E-9607-30B826B9C4A7}" presName="connTx" presStyleLbl="parChTrans1D2" presStyleIdx="6" presStyleCnt="11"/>
      <dgm:spPr/>
      <dgm:t>
        <a:bodyPr/>
        <a:lstStyle/>
        <a:p>
          <a:endParaRPr lang="et-EE"/>
        </a:p>
      </dgm:t>
    </dgm:pt>
    <dgm:pt modelId="{9E4B8133-5D34-43FB-9423-1905D3A5547D}" type="pres">
      <dgm:prSet presAssocID="{CFAD7B80-67A9-4357-B354-25F214D9C9D0}" presName="node" presStyleLbl="node1" presStyleIdx="6" presStyleCnt="11" custScaleX="181753" custScaleY="149455" custRadScaleRad="102043" custRadScaleInc="-15032">
        <dgm:presLayoutVars>
          <dgm:bulletEnabled val="1"/>
        </dgm:presLayoutVars>
      </dgm:prSet>
      <dgm:spPr>
        <a:prstGeom prst="ellipse">
          <a:avLst/>
        </a:prstGeom>
      </dgm:spPr>
      <dgm:t>
        <a:bodyPr/>
        <a:lstStyle/>
        <a:p>
          <a:endParaRPr lang="et-EE"/>
        </a:p>
      </dgm:t>
    </dgm:pt>
    <dgm:pt modelId="{CEBBA93C-006C-483B-8B6B-6CBA32258353}" type="pres">
      <dgm:prSet presAssocID="{E642C32B-F25A-4F3C-A121-1A968F7314DD}" presName="Name9" presStyleLbl="parChTrans1D2" presStyleIdx="7" presStyleCnt="11"/>
      <dgm:spPr>
        <a:custGeom>
          <a:avLst/>
          <a:gdLst/>
          <a:ahLst/>
          <a:cxnLst/>
          <a:rect l="0" t="0" r="0" b="0"/>
          <a:pathLst>
            <a:path>
              <a:moveTo>
                <a:pt x="0" y="13516"/>
              </a:moveTo>
              <a:lnTo>
                <a:pt x="770048" y="13516"/>
              </a:lnTo>
            </a:path>
          </a:pathLst>
        </a:custGeom>
      </dgm:spPr>
      <dgm:t>
        <a:bodyPr/>
        <a:lstStyle/>
        <a:p>
          <a:endParaRPr lang="et-EE"/>
        </a:p>
      </dgm:t>
    </dgm:pt>
    <dgm:pt modelId="{0F44887E-00D4-48A5-A76D-39D71A7B4C69}" type="pres">
      <dgm:prSet presAssocID="{E642C32B-F25A-4F3C-A121-1A968F7314DD}" presName="connTx" presStyleLbl="parChTrans1D2" presStyleIdx="7" presStyleCnt="11"/>
      <dgm:spPr/>
      <dgm:t>
        <a:bodyPr/>
        <a:lstStyle/>
        <a:p>
          <a:endParaRPr lang="et-EE"/>
        </a:p>
      </dgm:t>
    </dgm:pt>
    <dgm:pt modelId="{013DB82B-BA7D-4342-8C06-DDB99E2E747F}" type="pres">
      <dgm:prSet presAssocID="{03BD6F2D-B9EB-42D3-9A03-E81E15B7999A}" presName="node" presStyleLbl="node1" presStyleIdx="7" presStyleCnt="11" custScaleX="158355" custScaleY="134595" custRadScaleRad="117631" custRadScaleInc="652">
        <dgm:presLayoutVars>
          <dgm:bulletEnabled val="1"/>
        </dgm:presLayoutVars>
      </dgm:prSet>
      <dgm:spPr>
        <a:prstGeom prst="ellipse">
          <a:avLst/>
        </a:prstGeom>
      </dgm:spPr>
      <dgm:t>
        <a:bodyPr/>
        <a:lstStyle/>
        <a:p>
          <a:endParaRPr lang="et-EE"/>
        </a:p>
      </dgm:t>
    </dgm:pt>
    <dgm:pt modelId="{5152615F-C3D4-49D8-B91C-49064AF3C7F2}" type="pres">
      <dgm:prSet presAssocID="{410FA465-5559-4207-9FD6-2A5ED1ED789F}" presName="Name9" presStyleLbl="parChTrans1D2" presStyleIdx="8" presStyleCnt="11"/>
      <dgm:spPr>
        <a:custGeom>
          <a:avLst/>
          <a:gdLst/>
          <a:ahLst/>
          <a:cxnLst/>
          <a:rect l="0" t="0" r="0" b="0"/>
          <a:pathLst>
            <a:path>
              <a:moveTo>
                <a:pt x="0" y="13516"/>
              </a:moveTo>
              <a:lnTo>
                <a:pt x="716300" y="13516"/>
              </a:lnTo>
            </a:path>
          </a:pathLst>
        </a:custGeom>
      </dgm:spPr>
      <dgm:t>
        <a:bodyPr/>
        <a:lstStyle/>
        <a:p>
          <a:endParaRPr lang="et-EE"/>
        </a:p>
      </dgm:t>
    </dgm:pt>
    <dgm:pt modelId="{A2DBA4C3-2D4F-4003-B6D5-38B3860100B2}" type="pres">
      <dgm:prSet presAssocID="{410FA465-5559-4207-9FD6-2A5ED1ED789F}" presName="connTx" presStyleLbl="parChTrans1D2" presStyleIdx="8" presStyleCnt="11"/>
      <dgm:spPr/>
      <dgm:t>
        <a:bodyPr/>
        <a:lstStyle/>
        <a:p>
          <a:endParaRPr lang="et-EE"/>
        </a:p>
      </dgm:t>
    </dgm:pt>
    <dgm:pt modelId="{2EC65CF0-8D55-4579-AE74-983870A950E1}" type="pres">
      <dgm:prSet presAssocID="{7C638251-F530-4192-9A1F-692D5C0906E0}" presName="node" presStyleLbl="node1" presStyleIdx="8" presStyleCnt="11" custScaleX="141770" custScaleY="122506" custRadScaleRad="110594" custRadScaleInc="-44456">
        <dgm:presLayoutVars>
          <dgm:bulletEnabled val="1"/>
        </dgm:presLayoutVars>
      </dgm:prSet>
      <dgm:spPr>
        <a:prstGeom prst="ellipse">
          <a:avLst/>
        </a:prstGeom>
      </dgm:spPr>
      <dgm:t>
        <a:bodyPr/>
        <a:lstStyle/>
        <a:p>
          <a:endParaRPr lang="et-EE"/>
        </a:p>
      </dgm:t>
    </dgm:pt>
    <dgm:pt modelId="{8863F0F6-B2F3-45CE-B790-AB5806EAECF4}" type="pres">
      <dgm:prSet presAssocID="{15AE7A05-B83B-4305-BD5F-060F2173224F}" presName="Name9" presStyleLbl="parChTrans1D2" presStyleIdx="9" presStyleCnt="11"/>
      <dgm:spPr>
        <a:custGeom>
          <a:avLst/>
          <a:gdLst/>
          <a:ahLst/>
          <a:cxnLst/>
          <a:rect l="0" t="0" r="0" b="0"/>
          <a:pathLst>
            <a:path>
              <a:moveTo>
                <a:pt x="0" y="13516"/>
              </a:moveTo>
              <a:lnTo>
                <a:pt x="793785" y="13516"/>
              </a:lnTo>
            </a:path>
          </a:pathLst>
        </a:custGeom>
      </dgm:spPr>
      <dgm:t>
        <a:bodyPr/>
        <a:lstStyle/>
        <a:p>
          <a:endParaRPr lang="et-EE"/>
        </a:p>
      </dgm:t>
    </dgm:pt>
    <dgm:pt modelId="{8036F065-4D94-469C-9AED-C745DC8108DC}" type="pres">
      <dgm:prSet presAssocID="{15AE7A05-B83B-4305-BD5F-060F2173224F}" presName="connTx" presStyleLbl="parChTrans1D2" presStyleIdx="9" presStyleCnt="11"/>
      <dgm:spPr/>
      <dgm:t>
        <a:bodyPr/>
        <a:lstStyle/>
        <a:p>
          <a:endParaRPr lang="et-EE"/>
        </a:p>
      </dgm:t>
    </dgm:pt>
    <dgm:pt modelId="{11763281-A17D-482F-8680-58C2A1971F57}" type="pres">
      <dgm:prSet presAssocID="{E5128A31-D0D2-4FA9-BCF2-56F65544DAAA}" presName="node" presStyleLbl="node1" presStyleIdx="9" presStyleCnt="11" custScaleX="150325" custScaleY="145346" custRadScaleRad="107307" custRadScaleInc="90393">
        <dgm:presLayoutVars>
          <dgm:bulletEnabled val="1"/>
        </dgm:presLayoutVars>
      </dgm:prSet>
      <dgm:spPr>
        <a:prstGeom prst="ellipse">
          <a:avLst/>
        </a:prstGeom>
      </dgm:spPr>
      <dgm:t>
        <a:bodyPr/>
        <a:lstStyle/>
        <a:p>
          <a:endParaRPr lang="et-EE"/>
        </a:p>
      </dgm:t>
    </dgm:pt>
    <dgm:pt modelId="{FF0F7E4A-E0AA-42F0-AD05-AD9EF6D40E91}" type="pres">
      <dgm:prSet presAssocID="{0C44FB1E-B7E4-4B3E-A9D4-1F69707F988D}" presName="Name9" presStyleLbl="parChTrans1D2" presStyleIdx="10" presStyleCnt="11"/>
      <dgm:spPr>
        <a:custGeom>
          <a:avLst/>
          <a:gdLst/>
          <a:ahLst/>
          <a:cxnLst/>
          <a:rect l="0" t="0" r="0" b="0"/>
          <a:pathLst>
            <a:path>
              <a:moveTo>
                <a:pt x="0" y="13516"/>
              </a:moveTo>
              <a:lnTo>
                <a:pt x="490951" y="13516"/>
              </a:lnTo>
            </a:path>
          </a:pathLst>
        </a:custGeom>
      </dgm:spPr>
      <dgm:t>
        <a:bodyPr/>
        <a:lstStyle/>
        <a:p>
          <a:endParaRPr lang="et-EE"/>
        </a:p>
      </dgm:t>
    </dgm:pt>
    <dgm:pt modelId="{6C6D229C-6C0E-40EC-951A-32BCF136E677}" type="pres">
      <dgm:prSet presAssocID="{0C44FB1E-B7E4-4B3E-A9D4-1F69707F988D}" presName="connTx" presStyleLbl="parChTrans1D2" presStyleIdx="10" presStyleCnt="11"/>
      <dgm:spPr/>
      <dgm:t>
        <a:bodyPr/>
        <a:lstStyle/>
        <a:p>
          <a:endParaRPr lang="et-EE"/>
        </a:p>
      </dgm:t>
    </dgm:pt>
    <dgm:pt modelId="{6FC9739E-EB59-4816-8304-3E8725302E9C}" type="pres">
      <dgm:prSet presAssocID="{E8DC39C2-5753-4C92-8B18-465D70CE3298}" presName="node" presStyleLbl="node1" presStyleIdx="10" presStyleCnt="11" custScaleX="162729" custScaleY="108866" custRadScaleRad="103581" custRadScaleInc="-276136">
        <dgm:presLayoutVars>
          <dgm:bulletEnabled val="1"/>
        </dgm:presLayoutVars>
      </dgm:prSet>
      <dgm:spPr>
        <a:prstGeom prst="ellipse">
          <a:avLst/>
        </a:prstGeom>
      </dgm:spPr>
      <dgm:t>
        <a:bodyPr/>
        <a:lstStyle/>
        <a:p>
          <a:endParaRPr lang="et-EE"/>
        </a:p>
      </dgm:t>
    </dgm:pt>
  </dgm:ptLst>
  <dgm:cxnLst>
    <dgm:cxn modelId="{62E7F3DD-14CE-4606-AF76-00D8C155EE0C}" type="presOf" srcId="{879B7BB5-7833-4BE8-B620-0B28996165A6}" destId="{0B3FE1C3-3C96-4C21-ACCD-6C95C53E66F1}" srcOrd="0" destOrd="0" presId="urn:microsoft.com/office/officeart/2005/8/layout/radial1"/>
    <dgm:cxn modelId="{AF32E84A-AD77-4B45-BACD-0842979F5AF8}" type="presOf" srcId="{03BD6F2D-B9EB-42D3-9A03-E81E15B7999A}" destId="{013DB82B-BA7D-4342-8C06-DDB99E2E747F}" srcOrd="0" destOrd="0" presId="urn:microsoft.com/office/officeart/2005/8/layout/radial1"/>
    <dgm:cxn modelId="{A04ADF52-538B-4BC7-B3A4-49A31F1BE2B0}" type="presOf" srcId="{7640ACDF-DB5F-4F34-A123-BBF105FEFD1F}" destId="{292ED431-83F2-4EC5-8AD0-7B897CCBD414}" srcOrd="0" destOrd="0" presId="urn:microsoft.com/office/officeart/2005/8/layout/radial1"/>
    <dgm:cxn modelId="{E9E3596B-F707-4DBA-BF1C-8FBD4F7E8E0C}" srcId="{1D54189D-44B5-4A37-8E48-0127DF85CF2A}" destId="{5BFE085E-3342-482A-86C3-30F6ADC88E5D}" srcOrd="2" destOrd="0" parTransId="{0E4FCA12-CCC9-4C90-BC47-1C3AA753BF71}" sibTransId="{024077E9-247D-4A15-906D-6C17FD2724FF}"/>
    <dgm:cxn modelId="{602D8B7C-A52C-4889-AD10-CB741134BE38}" type="presOf" srcId="{0C44FB1E-B7E4-4B3E-A9D4-1F69707F988D}" destId="{6C6D229C-6C0E-40EC-951A-32BCF136E677}" srcOrd="1" destOrd="0" presId="urn:microsoft.com/office/officeart/2005/8/layout/radial1"/>
    <dgm:cxn modelId="{83BE9E5B-F9DC-4574-8EF0-1C0475267FAF}" type="presOf" srcId="{61BFCCD0-6053-486E-88A8-2BCA25E1C1D5}" destId="{5259B20D-7701-46A6-AE51-329B6ADF82EF}" srcOrd="0" destOrd="0" presId="urn:microsoft.com/office/officeart/2005/8/layout/radial1"/>
    <dgm:cxn modelId="{6E7848F2-69F3-4D57-92C0-342988A26F31}" type="presOf" srcId="{5E8CEC91-F819-43DC-B9A9-DCD450870B77}" destId="{54A5B3D1-E4FB-4105-998B-3E7F7BEBA61E}" srcOrd="0" destOrd="0" presId="urn:microsoft.com/office/officeart/2005/8/layout/radial1"/>
    <dgm:cxn modelId="{7B02C293-AE8A-499F-8F79-ED605D09CB71}" type="presOf" srcId="{410FA465-5559-4207-9FD6-2A5ED1ED789F}" destId="{5152615F-C3D4-49D8-B91C-49064AF3C7F2}" srcOrd="0" destOrd="0" presId="urn:microsoft.com/office/officeart/2005/8/layout/radial1"/>
    <dgm:cxn modelId="{36F2AD2B-6BA7-4A54-AFC2-6CBF287F2022}" type="presOf" srcId="{54ED8C89-3281-41F3-9972-0DD1CC09883A}" destId="{A2386CD7-2BD6-497D-90F3-9705798FAFFD}" srcOrd="1" destOrd="0" presId="urn:microsoft.com/office/officeart/2005/8/layout/radial1"/>
    <dgm:cxn modelId="{D2102246-6F9F-4FEA-AE77-DFE9204D0DAF}" srcId="{1D54189D-44B5-4A37-8E48-0127DF85CF2A}" destId="{5E8CEC91-F819-43DC-B9A9-DCD450870B77}" srcOrd="1" destOrd="0" parTransId="{879B7BB5-7833-4BE8-B620-0B28996165A6}" sibTransId="{7423A9DC-61A2-4C25-92F5-F76CFABD0D53}"/>
    <dgm:cxn modelId="{AF65E8DC-42F4-44A5-A5A3-05AED5170929}" type="presOf" srcId="{D70345FD-AADE-429E-9607-30B826B9C4A7}" destId="{048E457D-43F4-4DDF-84E0-61EB0BB7071F}" srcOrd="1" destOrd="0" presId="urn:microsoft.com/office/officeart/2005/8/layout/radial1"/>
    <dgm:cxn modelId="{6D825486-158C-4FBE-B51F-A9AF802A1732}" srcId="{1D54189D-44B5-4A37-8E48-0127DF85CF2A}" destId="{03BD6F2D-B9EB-42D3-9A03-E81E15B7999A}" srcOrd="7" destOrd="0" parTransId="{E642C32B-F25A-4F3C-A121-1A968F7314DD}" sibTransId="{8772DB40-A034-4AF5-A26A-5E92A07F9919}"/>
    <dgm:cxn modelId="{EFA85565-1EA1-4F9E-9F29-F97994C045A3}" type="presOf" srcId="{1D54189D-44B5-4A37-8E48-0127DF85CF2A}" destId="{0C3A4BC1-EA74-413D-B6D4-CAF3E1DD595A}" srcOrd="0" destOrd="0" presId="urn:microsoft.com/office/officeart/2005/8/layout/radial1"/>
    <dgm:cxn modelId="{F252DCA6-31D8-4E99-A235-7D9F9A653BCB}" type="presOf" srcId="{39B592BE-F6BA-4406-82B2-4A73447A7002}" destId="{BF2D829E-0678-4029-BDFB-2909631E59A9}" srcOrd="1" destOrd="0" presId="urn:microsoft.com/office/officeart/2005/8/layout/radial1"/>
    <dgm:cxn modelId="{FF78DB7B-BC3F-4EBA-8974-0E0F0C8CCCFD}" type="presOf" srcId="{CFAD7B80-67A9-4357-B354-25F214D9C9D0}" destId="{9E4B8133-5D34-43FB-9423-1905D3A5547D}" srcOrd="0" destOrd="0" presId="urn:microsoft.com/office/officeart/2005/8/layout/radial1"/>
    <dgm:cxn modelId="{B7E37697-23EB-4FCD-A2D7-68C9BB0CE6D5}" type="presOf" srcId="{0C44FB1E-B7E4-4B3E-A9D4-1F69707F988D}" destId="{FF0F7E4A-E0AA-42F0-AD05-AD9EF6D40E91}" srcOrd="0" destOrd="0" presId="urn:microsoft.com/office/officeart/2005/8/layout/radial1"/>
    <dgm:cxn modelId="{58B2A633-8726-4CD3-A1CF-54908D6B1749}" type="presOf" srcId="{E5128A31-D0D2-4FA9-BCF2-56F65544DAAA}" destId="{11763281-A17D-482F-8680-58C2A1971F57}" srcOrd="0" destOrd="0" presId="urn:microsoft.com/office/officeart/2005/8/layout/radial1"/>
    <dgm:cxn modelId="{C05F5D50-A359-4FBA-869E-3D85E2D32C3F}" type="presOf" srcId="{5BFE085E-3342-482A-86C3-30F6ADC88E5D}" destId="{24752E6D-9C26-4442-BA34-E5E0F9B23B1A}" srcOrd="0" destOrd="0" presId="urn:microsoft.com/office/officeart/2005/8/layout/radial1"/>
    <dgm:cxn modelId="{016532F2-F80D-4073-93B2-F2CB984CCD1C}" type="presOf" srcId="{E642C32B-F25A-4F3C-A121-1A968F7314DD}" destId="{0F44887E-00D4-48A5-A76D-39D71A7B4C69}" srcOrd="1" destOrd="0" presId="urn:microsoft.com/office/officeart/2005/8/layout/radial1"/>
    <dgm:cxn modelId="{1FBD7059-A7E8-486C-AA69-82000AD2C236}" srcId="{4D922E33-8A2C-4183-BC4F-730849F3982D}" destId="{1D54189D-44B5-4A37-8E48-0127DF85CF2A}" srcOrd="0" destOrd="0" parTransId="{3410A321-5C2E-4957-A154-1E5E860F8841}" sibTransId="{077D1C9A-B8D5-4D0D-8659-012CBF6AF351}"/>
    <dgm:cxn modelId="{CF771FF7-1C4D-413B-B4B6-AA3D5A6F3352}" type="presOf" srcId="{410FA465-5559-4207-9FD6-2A5ED1ED789F}" destId="{A2DBA4C3-2D4F-4003-B6D5-38B3860100B2}" srcOrd="1" destOrd="0" presId="urn:microsoft.com/office/officeart/2005/8/layout/radial1"/>
    <dgm:cxn modelId="{0A6D41C9-8094-4967-98AD-1350909646B3}" type="presOf" srcId="{0E4FCA12-CCC9-4C90-BC47-1C3AA753BF71}" destId="{7183CAC1-B44E-4E3E-946D-6F0DEEBE7BA9}" srcOrd="0" destOrd="0" presId="urn:microsoft.com/office/officeart/2005/8/layout/radial1"/>
    <dgm:cxn modelId="{77084392-DB16-4627-8311-B143D5978A08}" type="presOf" srcId="{B3F81787-9D02-407B-A5D4-86CBE0A56EEF}" destId="{23D5628D-1F59-41D4-AE7D-CF6F82568C68}" srcOrd="0" destOrd="0" presId="urn:microsoft.com/office/officeart/2005/8/layout/radial1"/>
    <dgm:cxn modelId="{E66C6CDB-5393-4A20-B80F-149899B45096}" type="presOf" srcId="{879B7BB5-7833-4BE8-B620-0B28996165A6}" destId="{27FBB5E2-5385-42C4-B9E8-8D856AE31D68}" srcOrd="1" destOrd="0" presId="urn:microsoft.com/office/officeart/2005/8/layout/radial1"/>
    <dgm:cxn modelId="{1EB0AE25-1178-4BFD-9D08-AEEDAD5A8D57}" srcId="{1D54189D-44B5-4A37-8E48-0127DF85CF2A}" destId="{7C638251-F530-4192-9A1F-692D5C0906E0}" srcOrd="8" destOrd="0" parTransId="{410FA465-5559-4207-9FD6-2A5ED1ED789F}" sibTransId="{6DCF072A-54E8-4A2F-80FC-2A978FFF04AA}"/>
    <dgm:cxn modelId="{00F2F264-9448-4D35-8945-1A3EEDA39AD7}" type="presOf" srcId="{7C638251-F530-4192-9A1F-692D5C0906E0}" destId="{2EC65CF0-8D55-4579-AE74-983870A950E1}" srcOrd="0" destOrd="0" presId="urn:microsoft.com/office/officeart/2005/8/layout/radial1"/>
    <dgm:cxn modelId="{9F0B5459-A347-493D-8AEB-16852FC07CB3}" type="presOf" srcId="{E8DC39C2-5753-4C92-8B18-465D70CE3298}" destId="{6FC9739E-EB59-4816-8304-3E8725302E9C}" srcOrd="0" destOrd="0" presId="urn:microsoft.com/office/officeart/2005/8/layout/radial1"/>
    <dgm:cxn modelId="{F5B6ACC4-7FFA-439D-92DA-61F11A3334E7}" type="presOf" srcId="{E642C32B-F25A-4F3C-A121-1A968F7314DD}" destId="{CEBBA93C-006C-483B-8B6B-6CBA32258353}" srcOrd="0" destOrd="0" presId="urn:microsoft.com/office/officeart/2005/8/layout/radial1"/>
    <dgm:cxn modelId="{D14A398A-B88B-4225-A488-01449AB2C0BA}" type="presOf" srcId="{15AE7A05-B83B-4305-BD5F-060F2173224F}" destId="{8863F0F6-B2F3-45CE-B790-AB5806EAECF4}" srcOrd="0" destOrd="0" presId="urn:microsoft.com/office/officeart/2005/8/layout/radial1"/>
    <dgm:cxn modelId="{B7491D33-CF62-4AF6-B8C8-18E809B0F793}" type="presOf" srcId="{0E4FCA12-CCC9-4C90-BC47-1C3AA753BF71}" destId="{3921F617-DCC3-4F73-8327-909DF90F8EF5}" srcOrd="1" destOrd="0" presId="urn:microsoft.com/office/officeart/2005/8/layout/radial1"/>
    <dgm:cxn modelId="{D9F3EB02-D144-4ACF-ABED-DC0D703759CF}" srcId="{1D54189D-44B5-4A37-8E48-0127DF85CF2A}" destId="{C9B531F1-0C5B-4C49-B61A-55A8619CF41D}" srcOrd="4" destOrd="0" parTransId="{39B592BE-F6BA-4406-82B2-4A73447A7002}" sibTransId="{58F5933F-F29F-4075-8555-09D043D766C4}"/>
    <dgm:cxn modelId="{57AE8430-6D0F-4003-8BBF-76DE05D4B7F3}" type="presOf" srcId="{39B592BE-F6BA-4406-82B2-4A73447A7002}" destId="{CDB63CB6-529C-4A56-BA5D-E768C56AB536}" srcOrd="0" destOrd="0" presId="urn:microsoft.com/office/officeart/2005/8/layout/radial1"/>
    <dgm:cxn modelId="{25A37878-B941-4157-9DFE-FFC4CB5517AC}" srcId="{1D54189D-44B5-4A37-8E48-0127DF85CF2A}" destId="{7640ACDF-DB5F-4F34-A123-BBF105FEFD1F}" srcOrd="5" destOrd="0" parTransId="{F665E85A-8E0D-4F39-9608-15B8646FD0C7}" sibTransId="{EB8C5245-D34F-4194-819C-940679EDDA5E}"/>
    <dgm:cxn modelId="{3F00348F-C498-4BE4-8B49-E2917FBCD623}" type="presOf" srcId="{15AE7A05-B83B-4305-BD5F-060F2173224F}" destId="{8036F065-4D94-469C-9AED-C745DC8108DC}" srcOrd="1" destOrd="0" presId="urn:microsoft.com/office/officeart/2005/8/layout/radial1"/>
    <dgm:cxn modelId="{575CC41B-6B32-47D4-9049-AABC89E1EEB6}" type="presOf" srcId="{F665E85A-8E0D-4F39-9608-15B8646FD0C7}" destId="{ABA33A93-2B86-4F09-8556-C5485B67593A}" srcOrd="0" destOrd="0" presId="urn:microsoft.com/office/officeart/2005/8/layout/radial1"/>
    <dgm:cxn modelId="{E921019B-5C5E-4383-B36D-0036C30E0C16}" type="presOf" srcId="{C9B531F1-0C5B-4C49-B61A-55A8619CF41D}" destId="{AAEDF2BB-8FE7-485B-8EEF-70F6ABB8C1EE}" srcOrd="0" destOrd="0" presId="urn:microsoft.com/office/officeart/2005/8/layout/radial1"/>
    <dgm:cxn modelId="{84F264AD-8D0F-4EBA-9319-CDDF4D3E244B}" type="presOf" srcId="{61BFCCD0-6053-486E-88A8-2BCA25E1C1D5}" destId="{97B77C5C-8F08-44A6-B086-EDA0C553C466}" srcOrd="1" destOrd="0" presId="urn:microsoft.com/office/officeart/2005/8/layout/radial1"/>
    <dgm:cxn modelId="{78AFFF24-3144-4D24-A50F-121F02BD3C75}" srcId="{1D54189D-44B5-4A37-8E48-0127DF85CF2A}" destId="{90D7469B-50B7-4E18-9FC7-638561BD773E}" srcOrd="0" destOrd="0" parTransId="{54ED8C89-3281-41F3-9972-0DD1CC09883A}" sibTransId="{D7C9B1C6-4E0F-47A5-9330-AA9B846285AB}"/>
    <dgm:cxn modelId="{94B47613-08B0-46B7-B682-6D23ABF1CF94}" type="presOf" srcId="{4D922E33-8A2C-4183-BC4F-730849F3982D}" destId="{25213279-08CC-4203-B940-F43810872C37}" srcOrd="0" destOrd="0" presId="urn:microsoft.com/office/officeart/2005/8/layout/radial1"/>
    <dgm:cxn modelId="{2841F186-6A80-4E60-BB96-0575593F598A}" srcId="{1D54189D-44B5-4A37-8E48-0127DF85CF2A}" destId="{E8DC39C2-5753-4C92-8B18-465D70CE3298}" srcOrd="10" destOrd="0" parTransId="{0C44FB1E-B7E4-4B3E-A9D4-1F69707F988D}" sibTransId="{8A7A5C4B-99DD-4E44-8EF5-2DFF47B6DE89}"/>
    <dgm:cxn modelId="{EA025238-F1E3-4030-B977-7C9B7D50234F}" type="presOf" srcId="{D70345FD-AADE-429E-9607-30B826B9C4A7}" destId="{01577978-A14D-4E06-BAB0-E617D99676A5}" srcOrd="0" destOrd="0" presId="urn:microsoft.com/office/officeart/2005/8/layout/radial1"/>
    <dgm:cxn modelId="{274127D4-0291-4C1B-A2B3-978A9023980C}" srcId="{1D54189D-44B5-4A37-8E48-0127DF85CF2A}" destId="{CFAD7B80-67A9-4357-B354-25F214D9C9D0}" srcOrd="6" destOrd="0" parTransId="{D70345FD-AADE-429E-9607-30B826B9C4A7}" sibTransId="{57CEAAF3-D166-45F9-9B33-78F42D752FF2}"/>
    <dgm:cxn modelId="{D3EA872F-9535-4B60-BF97-AEE9DA581452}" srcId="{1D54189D-44B5-4A37-8E48-0127DF85CF2A}" destId="{B3F81787-9D02-407B-A5D4-86CBE0A56EEF}" srcOrd="3" destOrd="0" parTransId="{61BFCCD0-6053-486E-88A8-2BCA25E1C1D5}" sibTransId="{0B464927-B91D-4C27-B205-56986E1E60FC}"/>
    <dgm:cxn modelId="{D15682E6-E6EF-4536-AED6-147CBD6479F0}" type="presOf" srcId="{54ED8C89-3281-41F3-9972-0DD1CC09883A}" destId="{510F9495-21C4-4887-8331-DE21A1DF0607}" srcOrd="0" destOrd="0" presId="urn:microsoft.com/office/officeart/2005/8/layout/radial1"/>
    <dgm:cxn modelId="{9550BCD4-EA33-4130-AA8A-533D853F424E}" srcId="{1D54189D-44B5-4A37-8E48-0127DF85CF2A}" destId="{E5128A31-D0D2-4FA9-BCF2-56F65544DAAA}" srcOrd="9" destOrd="0" parTransId="{15AE7A05-B83B-4305-BD5F-060F2173224F}" sibTransId="{AC78AD0C-D20E-456F-960D-2F6B9AABAF98}"/>
    <dgm:cxn modelId="{9A27C1D0-DFD8-4426-8BFF-F44E7FDBBE01}" type="presOf" srcId="{90D7469B-50B7-4E18-9FC7-638561BD773E}" destId="{FFD9B24C-FCE4-4D94-8724-A5F49D5BE0EA}" srcOrd="0" destOrd="0" presId="urn:microsoft.com/office/officeart/2005/8/layout/radial1"/>
    <dgm:cxn modelId="{660E13BF-0E2C-4A7D-9B9F-8F8B14B7FF9F}" type="presOf" srcId="{F665E85A-8E0D-4F39-9608-15B8646FD0C7}" destId="{BA29A674-9E40-423C-9FAE-B9A07393D405}" srcOrd="1" destOrd="0" presId="urn:microsoft.com/office/officeart/2005/8/layout/radial1"/>
    <dgm:cxn modelId="{BB541BC3-620C-4933-B4AF-D0C974E0A0D9}" type="presParOf" srcId="{25213279-08CC-4203-B940-F43810872C37}" destId="{0C3A4BC1-EA74-413D-B6D4-CAF3E1DD595A}" srcOrd="0" destOrd="0" presId="urn:microsoft.com/office/officeart/2005/8/layout/radial1"/>
    <dgm:cxn modelId="{7C183F22-B6DE-4073-8225-AEDF436A4B8B}" type="presParOf" srcId="{25213279-08CC-4203-B940-F43810872C37}" destId="{510F9495-21C4-4887-8331-DE21A1DF0607}" srcOrd="1" destOrd="0" presId="urn:microsoft.com/office/officeart/2005/8/layout/radial1"/>
    <dgm:cxn modelId="{BDB96E93-2709-4ABD-AEC8-59024864140D}" type="presParOf" srcId="{510F9495-21C4-4887-8331-DE21A1DF0607}" destId="{A2386CD7-2BD6-497D-90F3-9705798FAFFD}" srcOrd="0" destOrd="0" presId="urn:microsoft.com/office/officeart/2005/8/layout/radial1"/>
    <dgm:cxn modelId="{ACB1E81B-2E1A-4455-8269-2B7E9EDE70BF}" type="presParOf" srcId="{25213279-08CC-4203-B940-F43810872C37}" destId="{FFD9B24C-FCE4-4D94-8724-A5F49D5BE0EA}" srcOrd="2" destOrd="0" presId="urn:microsoft.com/office/officeart/2005/8/layout/radial1"/>
    <dgm:cxn modelId="{ED35AB06-59E9-4C1C-A645-78857C4E5A07}" type="presParOf" srcId="{25213279-08CC-4203-B940-F43810872C37}" destId="{0B3FE1C3-3C96-4C21-ACCD-6C95C53E66F1}" srcOrd="3" destOrd="0" presId="urn:microsoft.com/office/officeart/2005/8/layout/radial1"/>
    <dgm:cxn modelId="{888615F7-561E-4A45-8F7A-38FDFDDB29A9}" type="presParOf" srcId="{0B3FE1C3-3C96-4C21-ACCD-6C95C53E66F1}" destId="{27FBB5E2-5385-42C4-B9E8-8D856AE31D68}" srcOrd="0" destOrd="0" presId="urn:microsoft.com/office/officeart/2005/8/layout/radial1"/>
    <dgm:cxn modelId="{6118E953-B920-4E3D-BAA5-517D9E83F0C7}" type="presParOf" srcId="{25213279-08CC-4203-B940-F43810872C37}" destId="{54A5B3D1-E4FB-4105-998B-3E7F7BEBA61E}" srcOrd="4" destOrd="0" presId="urn:microsoft.com/office/officeart/2005/8/layout/radial1"/>
    <dgm:cxn modelId="{3FEB5170-6E59-4333-916D-0F8F08E1068E}" type="presParOf" srcId="{25213279-08CC-4203-B940-F43810872C37}" destId="{7183CAC1-B44E-4E3E-946D-6F0DEEBE7BA9}" srcOrd="5" destOrd="0" presId="urn:microsoft.com/office/officeart/2005/8/layout/radial1"/>
    <dgm:cxn modelId="{F750E9C3-AA39-4913-AE17-31C0DC8AFB98}" type="presParOf" srcId="{7183CAC1-B44E-4E3E-946D-6F0DEEBE7BA9}" destId="{3921F617-DCC3-4F73-8327-909DF90F8EF5}" srcOrd="0" destOrd="0" presId="urn:microsoft.com/office/officeart/2005/8/layout/radial1"/>
    <dgm:cxn modelId="{FEE34AD2-FDC9-4DFF-B468-EDE5B65F860F}" type="presParOf" srcId="{25213279-08CC-4203-B940-F43810872C37}" destId="{24752E6D-9C26-4442-BA34-E5E0F9B23B1A}" srcOrd="6" destOrd="0" presId="urn:microsoft.com/office/officeart/2005/8/layout/radial1"/>
    <dgm:cxn modelId="{2DD45127-1EAE-4EDA-AAAC-D1B26326D5AF}" type="presParOf" srcId="{25213279-08CC-4203-B940-F43810872C37}" destId="{5259B20D-7701-46A6-AE51-329B6ADF82EF}" srcOrd="7" destOrd="0" presId="urn:microsoft.com/office/officeart/2005/8/layout/radial1"/>
    <dgm:cxn modelId="{4CBAB302-B95A-48A4-9A25-31349C736587}" type="presParOf" srcId="{5259B20D-7701-46A6-AE51-329B6ADF82EF}" destId="{97B77C5C-8F08-44A6-B086-EDA0C553C466}" srcOrd="0" destOrd="0" presId="urn:microsoft.com/office/officeart/2005/8/layout/radial1"/>
    <dgm:cxn modelId="{CD44F651-09F0-421D-9CB2-A6737B82EF6C}" type="presParOf" srcId="{25213279-08CC-4203-B940-F43810872C37}" destId="{23D5628D-1F59-41D4-AE7D-CF6F82568C68}" srcOrd="8" destOrd="0" presId="urn:microsoft.com/office/officeart/2005/8/layout/radial1"/>
    <dgm:cxn modelId="{87687EF4-551F-42B1-B56B-0496831C3CF4}" type="presParOf" srcId="{25213279-08CC-4203-B940-F43810872C37}" destId="{CDB63CB6-529C-4A56-BA5D-E768C56AB536}" srcOrd="9" destOrd="0" presId="urn:microsoft.com/office/officeart/2005/8/layout/radial1"/>
    <dgm:cxn modelId="{52999C3F-6F03-4933-BBBC-EA126795A530}" type="presParOf" srcId="{CDB63CB6-529C-4A56-BA5D-E768C56AB536}" destId="{BF2D829E-0678-4029-BDFB-2909631E59A9}" srcOrd="0" destOrd="0" presId="urn:microsoft.com/office/officeart/2005/8/layout/radial1"/>
    <dgm:cxn modelId="{AC96114B-026B-4406-A4F4-47897429F44D}" type="presParOf" srcId="{25213279-08CC-4203-B940-F43810872C37}" destId="{AAEDF2BB-8FE7-485B-8EEF-70F6ABB8C1EE}" srcOrd="10" destOrd="0" presId="urn:microsoft.com/office/officeart/2005/8/layout/radial1"/>
    <dgm:cxn modelId="{29816FB4-0939-4F62-8D8A-2459A67111FF}" type="presParOf" srcId="{25213279-08CC-4203-B940-F43810872C37}" destId="{ABA33A93-2B86-4F09-8556-C5485B67593A}" srcOrd="11" destOrd="0" presId="urn:microsoft.com/office/officeart/2005/8/layout/radial1"/>
    <dgm:cxn modelId="{F204A629-B257-471D-BCCA-2D0AC635DCD9}" type="presParOf" srcId="{ABA33A93-2B86-4F09-8556-C5485B67593A}" destId="{BA29A674-9E40-423C-9FAE-B9A07393D405}" srcOrd="0" destOrd="0" presId="urn:microsoft.com/office/officeart/2005/8/layout/radial1"/>
    <dgm:cxn modelId="{4E501953-36BB-4442-8302-81134DBDF484}" type="presParOf" srcId="{25213279-08CC-4203-B940-F43810872C37}" destId="{292ED431-83F2-4EC5-8AD0-7B897CCBD414}" srcOrd="12" destOrd="0" presId="urn:microsoft.com/office/officeart/2005/8/layout/radial1"/>
    <dgm:cxn modelId="{29A1FEFE-1574-47F0-A52F-DEE6214C92F8}" type="presParOf" srcId="{25213279-08CC-4203-B940-F43810872C37}" destId="{01577978-A14D-4E06-BAB0-E617D99676A5}" srcOrd="13" destOrd="0" presId="urn:microsoft.com/office/officeart/2005/8/layout/radial1"/>
    <dgm:cxn modelId="{A736F3C0-4274-4E2C-99B9-F8FD166F108E}" type="presParOf" srcId="{01577978-A14D-4E06-BAB0-E617D99676A5}" destId="{048E457D-43F4-4DDF-84E0-61EB0BB7071F}" srcOrd="0" destOrd="0" presId="urn:microsoft.com/office/officeart/2005/8/layout/radial1"/>
    <dgm:cxn modelId="{9E05C6CC-5F0C-4AAE-9364-5E3566C573B7}" type="presParOf" srcId="{25213279-08CC-4203-B940-F43810872C37}" destId="{9E4B8133-5D34-43FB-9423-1905D3A5547D}" srcOrd="14" destOrd="0" presId="urn:microsoft.com/office/officeart/2005/8/layout/radial1"/>
    <dgm:cxn modelId="{89E54A68-2F00-4053-933B-210EE1D8975F}" type="presParOf" srcId="{25213279-08CC-4203-B940-F43810872C37}" destId="{CEBBA93C-006C-483B-8B6B-6CBA32258353}" srcOrd="15" destOrd="0" presId="urn:microsoft.com/office/officeart/2005/8/layout/radial1"/>
    <dgm:cxn modelId="{608C5874-4F0A-4A41-86A2-74A1275B71A8}" type="presParOf" srcId="{CEBBA93C-006C-483B-8B6B-6CBA32258353}" destId="{0F44887E-00D4-48A5-A76D-39D71A7B4C69}" srcOrd="0" destOrd="0" presId="urn:microsoft.com/office/officeart/2005/8/layout/radial1"/>
    <dgm:cxn modelId="{740585B1-D6CF-42CB-AD2C-442CA0CA486F}" type="presParOf" srcId="{25213279-08CC-4203-B940-F43810872C37}" destId="{013DB82B-BA7D-4342-8C06-DDB99E2E747F}" srcOrd="16" destOrd="0" presId="urn:microsoft.com/office/officeart/2005/8/layout/radial1"/>
    <dgm:cxn modelId="{04D4DF49-60A7-48B5-87FF-49481BDED576}" type="presParOf" srcId="{25213279-08CC-4203-B940-F43810872C37}" destId="{5152615F-C3D4-49D8-B91C-49064AF3C7F2}" srcOrd="17" destOrd="0" presId="urn:microsoft.com/office/officeart/2005/8/layout/radial1"/>
    <dgm:cxn modelId="{B29B6FE9-354B-4B19-B007-D8ED96B803BE}" type="presParOf" srcId="{5152615F-C3D4-49D8-B91C-49064AF3C7F2}" destId="{A2DBA4C3-2D4F-4003-B6D5-38B3860100B2}" srcOrd="0" destOrd="0" presId="urn:microsoft.com/office/officeart/2005/8/layout/radial1"/>
    <dgm:cxn modelId="{101E6477-AD4F-4248-A12F-32A457B4E38C}" type="presParOf" srcId="{25213279-08CC-4203-B940-F43810872C37}" destId="{2EC65CF0-8D55-4579-AE74-983870A950E1}" srcOrd="18" destOrd="0" presId="urn:microsoft.com/office/officeart/2005/8/layout/radial1"/>
    <dgm:cxn modelId="{03CCE108-1BE1-4D7F-A184-20BA29E9FE77}" type="presParOf" srcId="{25213279-08CC-4203-B940-F43810872C37}" destId="{8863F0F6-B2F3-45CE-B790-AB5806EAECF4}" srcOrd="19" destOrd="0" presId="urn:microsoft.com/office/officeart/2005/8/layout/radial1"/>
    <dgm:cxn modelId="{A56BB6CA-3A49-491E-A98E-EF30D3BAC83E}" type="presParOf" srcId="{8863F0F6-B2F3-45CE-B790-AB5806EAECF4}" destId="{8036F065-4D94-469C-9AED-C745DC8108DC}" srcOrd="0" destOrd="0" presId="urn:microsoft.com/office/officeart/2005/8/layout/radial1"/>
    <dgm:cxn modelId="{3FD56B44-91CD-4DA1-A6D2-AD70FC93B24E}" type="presParOf" srcId="{25213279-08CC-4203-B940-F43810872C37}" destId="{11763281-A17D-482F-8680-58C2A1971F57}" srcOrd="20" destOrd="0" presId="urn:microsoft.com/office/officeart/2005/8/layout/radial1"/>
    <dgm:cxn modelId="{C63C4489-93F4-442E-B7AB-8A54B1772C25}" type="presParOf" srcId="{25213279-08CC-4203-B940-F43810872C37}" destId="{FF0F7E4A-E0AA-42F0-AD05-AD9EF6D40E91}" srcOrd="21" destOrd="0" presId="urn:microsoft.com/office/officeart/2005/8/layout/radial1"/>
    <dgm:cxn modelId="{B3ECCF97-D880-43AD-AF9E-39DDFDC193F6}" type="presParOf" srcId="{FF0F7E4A-E0AA-42F0-AD05-AD9EF6D40E91}" destId="{6C6D229C-6C0E-40EC-951A-32BCF136E677}" srcOrd="0" destOrd="0" presId="urn:microsoft.com/office/officeart/2005/8/layout/radial1"/>
    <dgm:cxn modelId="{11586A74-1D3D-4D94-8814-3DACC633A5A7}" type="presParOf" srcId="{25213279-08CC-4203-B940-F43810872C37}" destId="{6FC9739E-EB59-4816-8304-3E8725302E9C}" srcOrd="22"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A4BC1-EA74-413D-B6D4-CAF3E1DD595A}">
      <dsp:nvSpPr>
        <dsp:cNvPr id="0" name=""/>
        <dsp:cNvSpPr/>
      </dsp:nvSpPr>
      <dsp:spPr>
        <a:xfrm>
          <a:off x="1981202" y="1850127"/>
          <a:ext cx="2343712" cy="2272978"/>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1" kern="1200" dirty="0" smtClean="0">
              <a:solidFill>
                <a:sysClr val="window" lastClr="FFFFFF"/>
              </a:solidFill>
              <a:latin typeface="Calibri"/>
              <a:ea typeface="+mn-ea"/>
              <a:cs typeface="+mn-cs"/>
            </a:rPr>
            <a:t>Elukestva õppe strateegia</a:t>
          </a:r>
        </a:p>
        <a:p>
          <a:pPr lvl="0" algn="ctr" defTabSz="488950">
            <a:lnSpc>
              <a:spcPct val="90000"/>
            </a:lnSpc>
            <a:spcBef>
              <a:spcPct val="0"/>
            </a:spcBef>
            <a:spcAft>
              <a:spcPct val="35000"/>
            </a:spcAft>
          </a:pPr>
          <a:r>
            <a:rPr lang="et-EE" sz="1100" kern="1200" dirty="0" smtClean="0">
              <a:solidFill>
                <a:sysClr val="window" lastClr="FFFFFF"/>
              </a:solidFill>
              <a:latin typeface="Calibri"/>
              <a:ea typeface="+mn-ea"/>
              <a:cs typeface="+mn-cs"/>
            </a:rPr>
            <a:t>- vajadustele ja võimalustele vastavad õpivõimalused kogu elukaare jooksul</a:t>
          </a:r>
        </a:p>
        <a:p>
          <a:pPr lvl="0" algn="ctr" defTabSz="488950">
            <a:lnSpc>
              <a:spcPct val="90000"/>
            </a:lnSpc>
            <a:spcBef>
              <a:spcPct val="0"/>
            </a:spcBef>
            <a:spcAft>
              <a:spcPct val="35000"/>
            </a:spcAft>
          </a:pPr>
          <a:r>
            <a:rPr lang="et-EE" sz="1100" kern="1200" dirty="0" smtClean="0">
              <a:solidFill>
                <a:sysClr val="window" lastClr="FFFFFF"/>
              </a:solidFill>
              <a:latin typeface="Calibri"/>
              <a:ea typeface="+mn-ea"/>
              <a:cs typeface="+mn-cs"/>
            </a:rPr>
            <a:t>-  fookus õpikäsituse muutusel ning tööturu ja õppe sisu vastavusel</a:t>
          </a:r>
        </a:p>
        <a:p>
          <a:pPr lvl="0" algn="ctr" defTabSz="488950">
            <a:lnSpc>
              <a:spcPct val="90000"/>
            </a:lnSpc>
            <a:spcBef>
              <a:spcPct val="0"/>
            </a:spcBef>
            <a:spcAft>
              <a:spcPct val="35000"/>
            </a:spcAft>
          </a:pPr>
          <a:r>
            <a:rPr lang="et-EE" sz="1100" kern="1200" dirty="0" smtClean="0">
              <a:solidFill>
                <a:sysClr val="window" lastClr="FFFFFF"/>
              </a:solidFill>
              <a:latin typeface="Calibri"/>
              <a:ea typeface="+mn-ea"/>
              <a:cs typeface="+mn-cs"/>
            </a:rPr>
            <a:t>- digipööre õppes</a:t>
          </a:r>
          <a:endParaRPr lang="et-EE" sz="1100" kern="1200" dirty="0">
            <a:solidFill>
              <a:sysClr val="window" lastClr="FFFFFF"/>
            </a:solidFill>
            <a:latin typeface="Calibri"/>
            <a:ea typeface="+mn-ea"/>
            <a:cs typeface="+mn-cs"/>
          </a:endParaRPr>
        </a:p>
      </dsp:txBody>
      <dsp:txXfrm>
        <a:off x="2324431" y="2182997"/>
        <a:ext cx="1657254" cy="1607238"/>
      </dsp:txXfrm>
    </dsp:sp>
    <dsp:sp modelId="{510F9495-21C4-4887-8331-DE21A1DF0607}">
      <dsp:nvSpPr>
        <dsp:cNvPr id="0" name=""/>
        <dsp:cNvSpPr/>
      </dsp:nvSpPr>
      <dsp:spPr>
        <a:xfrm rot="16168577">
          <a:off x="2698090" y="1396120"/>
          <a:ext cx="881106" cy="27033"/>
        </a:xfrm>
        <a:custGeom>
          <a:avLst/>
          <a:gdLst/>
          <a:ahLst/>
          <a:cxnLst/>
          <a:rect l="0" t="0" r="0" b="0"/>
          <a:pathLst>
            <a:path>
              <a:moveTo>
                <a:pt x="0" y="13516"/>
              </a:moveTo>
              <a:lnTo>
                <a:pt x="881106"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rot="10800000">
        <a:off x="3116616" y="1387609"/>
        <a:ext cx="44055" cy="44055"/>
      </dsp:txXfrm>
    </dsp:sp>
    <dsp:sp modelId="{FFD9B24C-FCE4-4D94-8724-A5F49D5BE0EA}">
      <dsp:nvSpPr>
        <dsp:cNvPr id="0" name=""/>
        <dsp:cNvSpPr/>
      </dsp:nvSpPr>
      <dsp:spPr>
        <a:xfrm>
          <a:off x="1902156" y="-58481"/>
          <a:ext cx="2455526" cy="1027587"/>
        </a:xfrm>
        <a:prstGeom prst="roundRect">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t-EE" sz="1100" b="1" kern="1200" dirty="0" smtClean="0">
              <a:solidFill>
                <a:sysClr val="window" lastClr="FFFFFF"/>
              </a:solidFill>
              <a:latin typeface="Calibri"/>
              <a:ea typeface="+mn-ea"/>
              <a:cs typeface="+mn-cs"/>
            </a:rPr>
            <a:t>Eesti 2020</a:t>
          </a:r>
        </a:p>
        <a:p>
          <a:pPr lvl="0" algn="ctr" defTabSz="488950">
            <a:lnSpc>
              <a:spcPct val="90000"/>
            </a:lnSpc>
            <a:spcBef>
              <a:spcPct val="0"/>
            </a:spcBef>
            <a:spcAft>
              <a:spcPct val="35000"/>
            </a:spcAft>
          </a:pPr>
          <a:r>
            <a:rPr lang="et-EE" sz="1100" kern="1200" dirty="0" smtClean="0">
              <a:solidFill>
                <a:sysClr val="window" lastClr="FFFFFF"/>
              </a:solidFill>
              <a:latin typeface="Calibri"/>
              <a:ea typeface="+mn-ea"/>
              <a:cs typeface="+mn-cs"/>
            </a:rPr>
            <a:t>- teadmistepõhine ühiskond; haritud rahvas; </a:t>
          </a:r>
          <a:r>
            <a:rPr lang="et-EE" sz="1100" kern="1200" dirty="0" err="1" smtClean="0">
              <a:solidFill>
                <a:sysClr val="window" lastClr="FFFFFF"/>
              </a:solidFill>
              <a:latin typeface="Calibri"/>
              <a:ea typeface="+mn-ea"/>
              <a:cs typeface="+mn-cs"/>
            </a:rPr>
            <a:t> hariduse ja tööturu vastavus</a:t>
          </a:r>
          <a:endParaRPr lang="et-EE" sz="1100" kern="1200" dirty="0" smtClean="0">
            <a:solidFill>
              <a:sysClr val="window" lastClr="FFFFFF"/>
            </a:solidFill>
            <a:latin typeface="Calibri"/>
            <a:ea typeface="+mn-ea"/>
            <a:cs typeface="+mn-cs"/>
          </a:endParaRPr>
        </a:p>
        <a:p>
          <a:pPr lvl="0" algn="ctr" defTabSz="488950">
            <a:lnSpc>
              <a:spcPct val="90000"/>
            </a:lnSpc>
            <a:spcBef>
              <a:spcPct val="0"/>
            </a:spcBef>
            <a:spcAft>
              <a:spcPct val="35000"/>
            </a:spcAft>
          </a:pPr>
          <a:r>
            <a:rPr lang="et-EE" sz="1100" b="1" kern="1200" dirty="0" smtClean="0">
              <a:solidFill>
                <a:sysClr val="window" lastClr="FFFFFF"/>
              </a:solidFill>
              <a:latin typeface="Calibri"/>
              <a:ea typeface="+mn-ea"/>
              <a:cs typeface="+mn-cs"/>
            </a:rPr>
            <a:t>Säästev Eesti 21</a:t>
          </a:r>
        </a:p>
        <a:p>
          <a:pPr lvl="0" algn="ctr" defTabSz="488950">
            <a:lnSpc>
              <a:spcPct val="90000"/>
            </a:lnSpc>
            <a:spcBef>
              <a:spcPct val="0"/>
            </a:spcBef>
            <a:spcAft>
              <a:spcPct val="35000"/>
            </a:spcAft>
          </a:pPr>
          <a:r>
            <a:rPr lang="et-EE" sz="1100" kern="1200" dirty="0" smtClean="0">
              <a:solidFill>
                <a:sysClr val="window" lastClr="FFFFFF"/>
              </a:solidFill>
              <a:latin typeface="Calibri"/>
              <a:ea typeface="+mn-ea"/>
              <a:cs typeface="+mn-cs"/>
            </a:rPr>
            <a:t>- kestliku haridussüsteemi põhisuunad</a:t>
          </a:r>
          <a:endParaRPr lang="et-EE" sz="1100" kern="1200" dirty="0">
            <a:solidFill>
              <a:sysClr val="window" lastClr="FFFFFF"/>
            </a:solidFill>
            <a:latin typeface="Calibri"/>
            <a:ea typeface="+mn-ea"/>
            <a:cs typeface="+mn-cs"/>
          </a:endParaRPr>
        </a:p>
      </dsp:txBody>
      <dsp:txXfrm>
        <a:off x="1952319" y="-8318"/>
        <a:ext cx="2355200" cy="927261"/>
      </dsp:txXfrm>
    </dsp:sp>
    <dsp:sp modelId="{0B3FE1C3-3C96-4C21-ACCD-6C95C53E66F1}">
      <dsp:nvSpPr>
        <dsp:cNvPr id="0" name=""/>
        <dsp:cNvSpPr/>
      </dsp:nvSpPr>
      <dsp:spPr>
        <a:xfrm rot="18727057">
          <a:off x="3740477" y="1701530"/>
          <a:ext cx="1124486" cy="27033"/>
        </a:xfrm>
        <a:custGeom>
          <a:avLst/>
          <a:gdLst/>
          <a:ahLst/>
          <a:cxnLst/>
          <a:rect l="0" t="0" r="0" b="0"/>
          <a:pathLst>
            <a:path>
              <a:moveTo>
                <a:pt x="0" y="13516"/>
              </a:moveTo>
              <a:lnTo>
                <a:pt x="1072965"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a:off x="4274608" y="1686934"/>
        <a:ext cx="56224" cy="56224"/>
      </dsp:txXfrm>
    </dsp:sp>
    <dsp:sp modelId="{54A5B3D1-E4FB-4105-998B-3E7F7BEBA61E}">
      <dsp:nvSpPr>
        <dsp:cNvPr id="0" name=""/>
        <dsp:cNvSpPr/>
      </dsp:nvSpPr>
      <dsp:spPr>
        <a:xfrm>
          <a:off x="4415365" y="125463"/>
          <a:ext cx="1452420" cy="1323555"/>
        </a:xfrm>
        <a:prstGeom prst="ellipse">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Laste ja perede arengukava (SoM)</a:t>
          </a:r>
        </a:p>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 iga lapse arengu toetamine</a:t>
          </a:r>
        </a:p>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 teadmistepõhine laste- ja perepoliitika</a:t>
          </a:r>
          <a:endParaRPr lang="et-EE" sz="900" kern="1200">
            <a:solidFill>
              <a:sysClr val="window" lastClr="FFFFFF"/>
            </a:solidFill>
            <a:latin typeface="Calibri"/>
            <a:ea typeface="+mn-ea"/>
            <a:cs typeface="+mn-cs"/>
          </a:endParaRPr>
        </a:p>
      </dsp:txBody>
      <dsp:txXfrm>
        <a:off x="4628067" y="319293"/>
        <a:ext cx="1027016" cy="935895"/>
      </dsp:txXfrm>
    </dsp:sp>
    <dsp:sp modelId="{7183CAC1-B44E-4E3E-946D-6F0DEEBE7BA9}">
      <dsp:nvSpPr>
        <dsp:cNvPr id="0" name=""/>
        <dsp:cNvSpPr/>
      </dsp:nvSpPr>
      <dsp:spPr>
        <a:xfrm rot="20025732">
          <a:off x="4155875" y="2278551"/>
          <a:ext cx="812689" cy="27033"/>
        </a:xfrm>
        <a:custGeom>
          <a:avLst/>
          <a:gdLst/>
          <a:ahLst/>
          <a:cxnLst/>
          <a:rect l="0" t="0" r="0" b="0"/>
          <a:pathLst>
            <a:path>
              <a:moveTo>
                <a:pt x="0" y="13516"/>
              </a:moveTo>
              <a:lnTo>
                <a:pt x="737939"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a:off x="4541902" y="2271751"/>
        <a:ext cx="40634" cy="40634"/>
      </dsp:txXfrm>
    </dsp:sp>
    <dsp:sp modelId="{24752E6D-9C26-4442-BA34-E5E0F9B23B1A}">
      <dsp:nvSpPr>
        <dsp:cNvPr id="0" name=""/>
        <dsp:cNvSpPr/>
      </dsp:nvSpPr>
      <dsp:spPr>
        <a:xfrm>
          <a:off x="4845451" y="1296301"/>
          <a:ext cx="1254784" cy="1093875"/>
        </a:xfrm>
        <a:prstGeom prst="ellipse">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  Ettevõtluse kasvustrateegia (MKM)</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-innovatsioon ja ettevõtlus, fookus kasvualadele</a:t>
          </a:r>
          <a:endParaRPr lang="et-EE" sz="900" kern="1200" dirty="0">
            <a:solidFill>
              <a:sysClr val="window" lastClr="FFFFFF"/>
            </a:solidFill>
            <a:latin typeface="Calibri"/>
            <a:ea typeface="+mn-ea"/>
            <a:cs typeface="+mn-cs"/>
          </a:endParaRPr>
        </a:p>
      </dsp:txBody>
      <dsp:txXfrm>
        <a:off x="5029210" y="1456495"/>
        <a:ext cx="887266" cy="773487"/>
      </dsp:txXfrm>
    </dsp:sp>
    <dsp:sp modelId="{5259B20D-7701-46A6-AE51-329B6ADF82EF}">
      <dsp:nvSpPr>
        <dsp:cNvPr id="0" name=""/>
        <dsp:cNvSpPr/>
      </dsp:nvSpPr>
      <dsp:spPr>
        <a:xfrm rot="21560182">
          <a:off x="4324822" y="2957966"/>
          <a:ext cx="269501" cy="27033"/>
        </a:xfrm>
        <a:custGeom>
          <a:avLst/>
          <a:gdLst/>
          <a:ahLst/>
          <a:cxnLst/>
          <a:rect l="0" t="0" r="0" b="0"/>
          <a:pathLst>
            <a:path>
              <a:moveTo>
                <a:pt x="0" y="13516"/>
              </a:moveTo>
              <a:lnTo>
                <a:pt x="280077"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a:off x="4452835" y="2964745"/>
        <a:ext cx="13475" cy="13475"/>
      </dsp:txXfrm>
    </dsp:sp>
    <dsp:sp modelId="{23D5628D-1F59-41D4-AE7D-CF6F82568C68}">
      <dsp:nvSpPr>
        <dsp:cNvPr id="0" name=""/>
        <dsp:cNvSpPr/>
      </dsp:nvSpPr>
      <dsp:spPr>
        <a:xfrm>
          <a:off x="4594231" y="2264190"/>
          <a:ext cx="1692268" cy="1391863"/>
        </a:xfrm>
        <a:prstGeom prst="ellipse">
          <a:avLst/>
        </a:prstGeo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t-EE" sz="900" b="1" kern="1200" dirty="0" smtClean="0">
            <a:solidFill>
              <a:sysClr val="window" lastClr="FFFFFF"/>
            </a:solidFill>
            <a:latin typeface="Calibri"/>
            <a:ea typeface="+mn-ea"/>
            <a:cs typeface="+mn-cs"/>
          </a:endParaRPr>
        </a:p>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Eesti keele arengukava (HTM)</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elanike ühine suhtluskeel</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eesti keele õpetamine, uurimine, arendamine ja kaitse</a:t>
          </a:r>
        </a:p>
        <a:p>
          <a:pPr lvl="0" algn="ctr" defTabSz="400050">
            <a:lnSpc>
              <a:spcPct val="90000"/>
            </a:lnSpc>
            <a:spcBef>
              <a:spcPct val="0"/>
            </a:spcBef>
            <a:spcAft>
              <a:spcPct val="35000"/>
            </a:spcAft>
          </a:pPr>
          <a:endParaRPr lang="et-EE" sz="900" kern="1200" dirty="0" smtClean="0">
            <a:solidFill>
              <a:sysClr val="window" lastClr="FFFFFF"/>
            </a:solidFill>
            <a:latin typeface="Calibri"/>
            <a:ea typeface="+mn-ea"/>
            <a:cs typeface="+mn-cs"/>
          </a:endParaRPr>
        </a:p>
      </dsp:txBody>
      <dsp:txXfrm>
        <a:off x="4842058" y="2468024"/>
        <a:ext cx="1196614" cy="984195"/>
      </dsp:txXfrm>
    </dsp:sp>
    <dsp:sp modelId="{CDB63CB6-529C-4A56-BA5D-E768C56AB536}">
      <dsp:nvSpPr>
        <dsp:cNvPr id="0" name=""/>
        <dsp:cNvSpPr/>
      </dsp:nvSpPr>
      <dsp:spPr>
        <a:xfrm rot="1715664">
          <a:off x="4161175" y="3582677"/>
          <a:ext cx="220374" cy="27033"/>
        </a:xfrm>
        <a:custGeom>
          <a:avLst/>
          <a:gdLst/>
          <a:ahLst/>
          <a:cxnLst/>
          <a:rect l="0" t="0" r="0" b="0"/>
          <a:pathLst>
            <a:path>
              <a:moveTo>
                <a:pt x="0" y="13516"/>
              </a:moveTo>
              <a:lnTo>
                <a:pt x="273458"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t-EE" sz="500" kern="1200">
            <a:solidFill>
              <a:sysClr val="windowText" lastClr="000000">
                <a:hueOff val="0"/>
                <a:satOff val="0"/>
                <a:lumOff val="0"/>
                <a:alphaOff val="0"/>
              </a:sysClr>
            </a:solidFill>
            <a:latin typeface="Calibri"/>
            <a:ea typeface="+mn-ea"/>
            <a:cs typeface="+mn-cs"/>
          </a:endParaRPr>
        </a:p>
      </dsp:txBody>
      <dsp:txXfrm>
        <a:off x="4265853" y="3590684"/>
        <a:ext cx="11018" cy="11018"/>
      </dsp:txXfrm>
    </dsp:sp>
    <dsp:sp modelId="{AAEDF2BB-8FE7-485B-8EEF-70F6ABB8C1EE}">
      <dsp:nvSpPr>
        <dsp:cNvPr id="0" name=""/>
        <dsp:cNvSpPr/>
      </dsp:nvSpPr>
      <dsp:spPr>
        <a:xfrm>
          <a:off x="4257475" y="3381982"/>
          <a:ext cx="1383026" cy="1167159"/>
        </a:xfrm>
        <a:prstGeom prst="ellipse">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Kultuuripoliitika põhialused 2020 </a:t>
          </a:r>
        </a:p>
        <a:p>
          <a:pPr lvl="0" algn="ctr" defTabSz="400050">
            <a:lnSpc>
              <a:spcPct val="90000"/>
            </a:lnSpc>
            <a:spcBef>
              <a:spcPct val="0"/>
            </a:spcBef>
            <a:spcAft>
              <a:spcPct val="35000"/>
            </a:spcAft>
          </a:pPr>
          <a:r>
            <a:rPr lang="et-EE" sz="900" kern="1200">
              <a:solidFill>
                <a:sysClr val="window" lastClr="FFFFFF"/>
              </a:solidFill>
              <a:latin typeface="Calibri"/>
              <a:ea typeface="+mn-ea"/>
              <a:cs typeface="+mn-cs"/>
            </a:rPr>
            <a:t>-loovuse arendamine</a:t>
          </a:r>
        </a:p>
        <a:p>
          <a:pPr lvl="0" algn="ctr" defTabSz="400050">
            <a:lnSpc>
              <a:spcPct val="90000"/>
            </a:lnSpc>
            <a:spcBef>
              <a:spcPct val="0"/>
            </a:spcBef>
            <a:spcAft>
              <a:spcPct val="35000"/>
            </a:spcAft>
          </a:pPr>
          <a:r>
            <a:rPr lang="et-EE" sz="900" kern="1200">
              <a:solidFill>
                <a:sysClr val="window" lastClr="FFFFFF"/>
              </a:solidFill>
              <a:latin typeface="Calibri"/>
              <a:ea typeface="+mn-ea"/>
              <a:cs typeface="+mn-cs"/>
            </a:rPr>
            <a:t>-kultuuriasutused kui õpikeskkonnad</a:t>
          </a:r>
        </a:p>
      </dsp:txBody>
      <dsp:txXfrm>
        <a:off x="4460014" y="3552908"/>
        <a:ext cx="977948" cy="825307"/>
      </dsp:txXfrm>
    </dsp:sp>
    <dsp:sp modelId="{ABA33A93-2B86-4F09-8556-C5485B67593A}">
      <dsp:nvSpPr>
        <dsp:cNvPr id="0" name=""/>
        <dsp:cNvSpPr/>
      </dsp:nvSpPr>
      <dsp:spPr>
        <a:xfrm rot="3919072">
          <a:off x="3614916" y="4034868"/>
          <a:ext cx="52199" cy="27033"/>
        </a:xfrm>
        <a:custGeom>
          <a:avLst/>
          <a:gdLst/>
          <a:ahLst/>
          <a:cxnLst/>
          <a:rect l="0" t="0" r="0" b="0"/>
          <a:pathLst>
            <a:path>
              <a:moveTo>
                <a:pt x="0" y="13516"/>
              </a:moveTo>
              <a:lnTo>
                <a:pt x="27620"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a:off x="3639711" y="4047079"/>
        <a:ext cx="2609" cy="2609"/>
      </dsp:txXfrm>
    </dsp:sp>
    <dsp:sp modelId="{292ED431-83F2-4EC5-8AD0-7B897CCBD414}">
      <dsp:nvSpPr>
        <dsp:cNvPr id="0" name=""/>
        <dsp:cNvSpPr/>
      </dsp:nvSpPr>
      <dsp:spPr>
        <a:xfrm>
          <a:off x="3229962" y="4018305"/>
          <a:ext cx="1398076" cy="1313434"/>
        </a:xfrm>
        <a:prstGeom prst="ellipse">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t-EE" sz="900" b="1" kern="1200">
            <a:solidFill>
              <a:sysClr val="window" lastClr="FFFFFF"/>
            </a:solidFill>
            <a:latin typeface="Calibri"/>
            <a:ea typeface="+mn-ea"/>
            <a:cs typeface="+mn-cs"/>
          </a:endParaRPr>
        </a:p>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Noortevaldkonna arengukava (HTM)</a:t>
          </a:r>
        </a:p>
        <a:p>
          <a:pPr lvl="0" algn="ctr" defTabSz="400050">
            <a:lnSpc>
              <a:spcPct val="90000"/>
            </a:lnSpc>
            <a:spcBef>
              <a:spcPct val="0"/>
            </a:spcBef>
            <a:spcAft>
              <a:spcPct val="35000"/>
            </a:spcAft>
          </a:pPr>
          <a:r>
            <a:rPr lang="et-EE" sz="900" b="0" kern="1200">
              <a:solidFill>
                <a:sysClr val="window" lastClr="FFFFFF"/>
              </a:solidFill>
              <a:latin typeface="Calibri"/>
              <a:ea typeface="+mn-ea"/>
              <a:cs typeface="+mn-cs"/>
            </a:rPr>
            <a:t>- võrdsed arenguvõimalused ja tööhõive;</a:t>
          </a:r>
        </a:p>
        <a:p>
          <a:pPr lvl="0" algn="ctr" defTabSz="400050">
            <a:lnSpc>
              <a:spcPct val="90000"/>
            </a:lnSpc>
            <a:spcBef>
              <a:spcPct val="0"/>
            </a:spcBef>
            <a:spcAft>
              <a:spcPct val="35000"/>
            </a:spcAft>
          </a:pPr>
          <a:r>
            <a:rPr lang="et-EE" sz="900" b="0" kern="1200">
              <a:solidFill>
                <a:sysClr val="window" lastClr="FFFFFF"/>
              </a:solidFill>
              <a:latin typeface="Calibri"/>
              <a:ea typeface="+mn-ea"/>
              <a:cs typeface="+mn-cs"/>
            </a:rPr>
            <a:t>- loovus ja aktiivne osalus</a:t>
          </a:r>
        </a:p>
        <a:p>
          <a:pPr lvl="0" algn="ctr" defTabSz="400050">
            <a:lnSpc>
              <a:spcPct val="90000"/>
            </a:lnSpc>
            <a:spcBef>
              <a:spcPct val="0"/>
            </a:spcBef>
            <a:spcAft>
              <a:spcPct val="35000"/>
            </a:spcAft>
          </a:pPr>
          <a:endParaRPr lang="et-EE" sz="900" b="1" kern="1200">
            <a:solidFill>
              <a:sysClr val="window" lastClr="FFFFFF"/>
            </a:solidFill>
            <a:latin typeface="Calibri"/>
            <a:ea typeface="+mn-ea"/>
            <a:cs typeface="+mn-cs"/>
          </a:endParaRPr>
        </a:p>
      </dsp:txBody>
      <dsp:txXfrm>
        <a:off x="3434705" y="4210653"/>
        <a:ext cx="988590" cy="928738"/>
      </dsp:txXfrm>
    </dsp:sp>
    <dsp:sp modelId="{01577978-A14D-4E06-BAB0-E617D99676A5}">
      <dsp:nvSpPr>
        <dsp:cNvPr id="0" name=""/>
        <dsp:cNvSpPr/>
      </dsp:nvSpPr>
      <dsp:spPr>
        <a:xfrm rot="17433763">
          <a:off x="2733782" y="4014214"/>
          <a:ext cx="57441" cy="27033"/>
        </a:xfrm>
        <a:custGeom>
          <a:avLst/>
          <a:gdLst/>
          <a:ahLst/>
          <a:cxnLst/>
          <a:rect l="0" t="0" r="0" b="0"/>
          <a:pathLst>
            <a:path>
              <a:moveTo>
                <a:pt x="0" y="13516"/>
              </a:moveTo>
              <a:lnTo>
                <a:pt x="109030"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a:off x="2761066" y="4026295"/>
        <a:ext cx="2872" cy="2872"/>
      </dsp:txXfrm>
    </dsp:sp>
    <dsp:sp modelId="{9E4B8133-5D34-43FB-9423-1905D3A5547D}">
      <dsp:nvSpPr>
        <dsp:cNvPr id="0" name=""/>
        <dsp:cNvSpPr/>
      </dsp:nvSpPr>
      <dsp:spPr>
        <a:xfrm>
          <a:off x="1661685" y="3969493"/>
          <a:ext cx="1715994" cy="1411057"/>
        </a:xfrm>
        <a:prstGeom prst="ellipse">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Lõimuv Eesti 2020 (KuM)</a:t>
          </a:r>
        </a:p>
        <a:p>
          <a:pPr lvl="0" algn="ctr" defTabSz="400050">
            <a:lnSpc>
              <a:spcPct val="90000"/>
            </a:lnSpc>
            <a:spcBef>
              <a:spcPct val="0"/>
            </a:spcBef>
            <a:spcAft>
              <a:spcPct val="35000"/>
            </a:spcAft>
          </a:pPr>
          <a:r>
            <a:rPr lang="et-EE" sz="900" b="0" kern="1200">
              <a:solidFill>
                <a:sysClr val="window" lastClr="FFFFFF"/>
              </a:solidFill>
              <a:latin typeface="Calibri"/>
              <a:ea typeface="+mn-ea"/>
              <a:cs typeface="+mn-cs"/>
            </a:rPr>
            <a:t>- sidus ühiskond;</a:t>
          </a:r>
        </a:p>
        <a:p>
          <a:pPr lvl="0" algn="ctr" defTabSz="400050">
            <a:lnSpc>
              <a:spcPct val="90000"/>
            </a:lnSpc>
            <a:spcBef>
              <a:spcPct val="0"/>
            </a:spcBef>
            <a:spcAft>
              <a:spcPct val="35000"/>
            </a:spcAft>
          </a:pPr>
          <a:r>
            <a:rPr lang="et-EE" sz="900" b="0" kern="1200">
              <a:solidFill>
                <a:sysClr val="window" lastClr="FFFFFF"/>
              </a:solidFill>
              <a:latin typeface="Calibri"/>
              <a:ea typeface="+mn-ea"/>
              <a:cs typeface="+mn-cs"/>
            </a:rPr>
            <a:t>-võrdsed haridusvõimalused</a:t>
          </a:r>
        </a:p>
        <a:p>
          <a:pPr lvl="0" algn="ctr" defTabSz="400050">
            <a:lnSpc>
              <a:spcPct val="90000"/>
            </a:lnSpc>
            <a:spcBef>
              <a:spcPct val="0"/>
            </a:spcBef>
            <a:spcAft>
              <a:spcPct val="35000"/>
            </a:spcAft>
          </a:pPr>
          <a:r>
            <a:rPr lang="et-EE" sz="900" b="0" kern="1200">
              <a:solidFill>
                <a:sysClr val="window" lastClr="FFFFFF"/>
              </a:solidFill>
              <a:latin typeface="Calibri"/>
              <a:ea typeface="+mn-ea"/>
              <a:cs typeface="+mn-cs"/>
            </a:rPr>
            <a:t>-Ühiskonnas osalemise soodustamine</a:t>
          </a:r>
        </a:p>
      </dsp:txBody>
      <dsp:txXfrm>
        <a:off x="1912987" y="4176138"/>
        <a:ext cx="1213390" cy="997767"/>
      </dsp:txXfrm>
    </dsp:sp>
    <dsp:sp modelId="{CEBBA93C-006C-483B-8B6B-6CBA32258353}">
      <dsp:nvSpPr>
        <dsp:cNvPr id="0" name=""/>
        <dsp:cNvSpPr/>
      </dsp:nvSpPr>
      <dsp:spPr>
        <a:xfrm rot="8884525">
          <a:off x="1674129" y="3728389"/>
          <a:ext cx="533331" cy="27033"/>
        </a:xfrm>
        <a:custGeom>
          <a:avLst/>
          <a:gdLst/>
          <a:ahLst/>
          <a:cxnLst/>
          <a:rect l="0" t="0" r="0" b="0"/>
          <a:pathLst>
            <a:path>
              <a:moveTo>
                <a:pt x="0" y="13516"/>
              </a:moveTo>
              <a:lnTo>
                <a:pt x="770048"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rot="10800000">
        <a:off x="1927462" y="3728573"/>
        <a:ext cx="26666" cy="26666"/>
      </dsp:txXfrm>
    </dsp:sp>
    <dsp:sp modelId="{013DB82B-BA7D-4342-8C06-DDB99E2E747F}">
      <dsp:nvSpPr>
        <dsp:cNvPr id="0" name=""/>
        <dsp:cNvSpPr/>
      </dsp:nvSpPr>
      <dsp:spPr>
        <a:xfrm>
          <a:off x="364010" y="3623178"/>
          <a:ext cx="1495086" cy="1270759"/>
        </a:xfrm>
        <a:prstGeom prst="ellipse">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Infoühiskonna arengukava (MKM)</a:t>
          </a:r>
        </a:p>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 IKT </a:t>
          </a:r>
          <a:r>
            <a:rPr lang="et-EE" sz="900" b="1" kern="1200" dirty="0" err="1" smtClean="0">
              <a:solidFill>
                <a:sysClr val="window" lastClr="FFFFFF"/>
              </a:solidFill>
              <a:latin typeface="Calibri"/>
              <a:ea typeface="+mn-ea"/>
              <a:cs typeface="+mn-cs"/>
            </a:rPr>
            <a:t>taristu</a:t>
          </a:r>
          <a:endParaRPr lang="et-EE" sz="900" b="1" kern="1200" dirty="0" smtClean="0">
            <a:solidFill>
              <a:sysClr val="window" lastClr="FFFFFF"/>
            </a:solidFill>
            <a:latin typeface="Calibri"/>
            <a:ea typeface="+mn-ea"/>
            <a:cs typeface="+mn-cs"/>
          </a:endParaRPr>
        </a:p>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-IKT Oskused</a:t>
          </a:r>
        </a:p>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 Taristu</a:t>
          </a:r>
          <a:endParaRPr lang="et-EE" sz="900" b="1" kern="1200" dirty="0">
            <a:solidFill>
              <a:sysClr val="window" lastClr="FFFFFF"/>
            </a:solidFill>
            <a:latin typeface="Calibri"/>
            <a:ea typeface="+mn-ea"/>
            <a:cs typeface="+mn-cs"/>
          </a:endParaRPr>
        </a:p>
      </dsp:txBody>
      <dsp:txXfrm>
        <a:off x="582960" y="3809276"/>
        <a:ext cx="1057186" cy="898563"/>
      </dsp:txXfrm>
    </dsp:sp>
    <dsp:sp modelId="{5152615F-C3D4-49D8-B91C-49064AF3C7F2}">
      <dsp:nvSpPr>
        <dsp:cNvPr id="0" name=""/>
        <dsp:cNvSpPr/>
      </dsp:nvSpPr>
      <dsp:spPr>
        <a:xfrm rot="10464097">
          <a:off x="1392079" y="3116481"/>
          <a:ext cx="596485" cy="27033"/>
        </a:xfrm>
        <a:custGeom>
          <a:avLst/>
          <a:gdLst/>
          <a:ahLst/>
          <a:cxnLst/>
          <a:rect l="0" t="0" r="0" b="0"/>
          <a:pathLst>
            <a:path>
              <a:moveTo>
                <a:pt x="0" y="13516"/>
              </a:moveTo>
              <a:lnTo>
                <a:pt x="716300"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rot="10800000">
        <a:off x="1675410" y="3115085"/>
        <a:ext cx="29824" cy="29824"/>
      </dsp:txXfrm>
    </dsp:sp>
    <dsp:sp modelId="{2EC65CF0-8D55-4579-AE74-983870A950E1}">
      <dsp:nvSpPr>
        <dsp:cNvPr id="0" name=""/>
        <dsp:cNvSpPr/>
      </dsp:nvSpPr>
      <dsp:spPr>
        <a:xfrm>
          <a:off x="59266" y="2645965"/>
          <a:ext cx="1338501" cy="1156622"/>
        </a:xfrm>
        <a:prstGeom prst="ellipse">
          <a:avLst/>
        </a:prstGeom>
        <a:solidFill>
          <a:srgbClr val="4BACC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TAI strateegia (HTM)</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teadmistepõhine ja uuendusmeelne ühiskond</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kasvuvaldkonnad</a:t>
          </a:r>
          <a:endParaRPr lang="et-EE" sz="900" kern="1200" dirty="0">
            <a:solidFill>
              <a:sysClr val="window" lastClr="FFFFFF"/>
            </a:solidFill>
            <a:latin typeface="Calibri"/>
            <a:ea typeface="+mn-ea"/>
            <a:cs typeface="+mn-cs"/>
          </a:endParaRPr>
        </a:p>
      </dsp:txBody>
      <dsp:txXfrm>
        <a:off x="255285" y="2815348"/>
        <a:ext cx="946463" cy="817856"/>
      </dsp:txXfrm>
    </dsp:sp>
    <dsp:sp modelId="{8863F0F6-B2F3-45CE-B790-AB5806EAECF4}">
      <dsp:nvSpPr>
        <dsp:cNvPr id="0" name=""/>
        <dsp:cNvSpPr/>
      </dsp:nvSpPr>
      <dsp:spPr>
        <a:xfrm rot="13482374">
          <a:off x="1618646" y="1867611"/>
          <a:ext cx="835056" cy="27033"/>
        </a:xfrm>
        <a:custGeom>
          <a:avLst/>
          <a:gdLst/>
          <a:ahLst/>
          <a:cxnLst/>
          <a:rect l="0" t="0" r="0" b="0"/>
          <a:pathLst>
            <a:path>
              <a:moveTo>
                <a:pt x="0" y="13516"/>
              </a:moveTo>
              <a:lnTo>
                <a:pt x="793785"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rot="10800000">
        <a:off x="2015298" y="1860251"/>
        <a:ext cx="41752" cy="41752"/>
      </dsp:txXfrm>
    </dsp:sp>
    <dsp:sp modelId="{11763281-A17D-482F-8680-58C2A1971F57}">
      <dsp:nvSpPr>
        <dsp:cNvPr id="0" name=""/>
        <dsp:cNvSpPr/>
      </dsp:nvSpPr>
      <dsp:spPr>
        <a:xfrm>
          <a:off x="533915" y="410459"/>
          <a:ext cx="1419271" cy="1372263"/>
        </a:xfrm>
        <a:prstGeom prst="ellipse">
          <a:avLst/>
        </a:prstGeom>
        <a:solidFill>
          <a:srgbClr val="F79646">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dirty="0" smtClean="0">
              <a:solidFill>
                <a:sysClr val="window" lastClr="FFFFFF"/>
              </a:solidFill>
              <a:latin typeface="Calibri"/>
              <a:ea typeface="+mn-ea"/>
              <a:cs typeface="+mn-cs"/>
            </a:rPr>
            <a:t>Regionaalarengu strateegia (SIM), Üleriigiline planeering Eesti 2030 (SIM)</a:t>
          </a:r>
        </a:p>
        <a:p>
          <a:pPr lvl="0" algn="ctr" defTabSz="400050">
            <a:lnSpc>
              <a:spcPct val="90000"/>
            </a:lnSpc>
            <a:spcBef>
              <a:spcPct val="0"/>
            </a:spcBef>
            <a:spcAft>
              <a:spcPct val="35000"/>
            </a:spcAft>
          </a:pPr>
          <a:r>
            <a:rPr lang="et-EE" sz="900" kern="1200" dirty="0" smtClean="0">
              <a:solidFill>
                <a:sysClr val="window" lastClr="FFFFFF"/>
              </a:solidFill>
              <a:latin typeface="Calibri"/>
              <a:ea typeface="+mn-ea"/>
              <a:cs typeface="+mn-cs"/>
            </a:rPr>
            <a:t>- hariduse kättesaadavus, haridusasutuste võrk</a:t>
          </a:r>
          <a:endParaRPr lang="et-EE" sz="900" kern="1200" dirty="0">
            <a:solidFill>
              <a:sysClr val="window" lastClr="FFFFFF"/>
            </a:solidFill>
            <a:latin typeface="Calibri"/>
            <a:ea typeface="+mn-ea"/>
            <a:cs typeface="+mn-cs"/>
          </a:endParaRPr>
        </a:p>
      </dsp:txBody>
      <dsp:txXfrm>
        <a:off x="741762" y="611422"/>
        <a:ext cx="1003577" cy="970337"/>
      </dsp:txXfrm>
    </dsp:sp>
    <dsp:sp modelId="{FF0F7E4A-E0AA-42F0-AD05-AD9EF6D40E91}">
      <dsp:nvSpPr>
        <dsp:cNvPr id="0" name=""/>
        <dsp:cNvSpPr/>
      </dsp:nvSpPr>
      <dsp:spPr>
        <a:xfrm rot="12050516">
          <a:off x="1492784" y="2453092"/>
          <a:ext cx="588713" cy="27033"/>
        </a:xfrm>
        <a:custGeom>
          <a:avLst/>
          <a:gdLst/>
          <a:ahLst/>
          <a:cxnLst/>
          <a:rect l="0" t="0" r="0" b="0"/>
          <a:pathLst>
            <a:path>
              <a:moveTo>
                <a:pt x="0" y="13516"/>
              </a:moveTo>
              <a:lnTo>
                <a:pt x="490951" y="135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t-EE" sz="900" kern="1200">
            <a:solidFill>
              <a:sysClr val="windowText" lastClr="000000">
                <a:hueOff val="0"/>
                <a:satOff val="0"/>
                <a:lumOff val="0"/>
                <a:alphaOff val="0"/>
              </a:sysClr>
            </a:solidFill>
            <a:latin typeface="Calibri"/>
            <a:ea typeface="+mn-ea"/>
            <a:cs typeface="+mn-cs"/>
          </a:endParaRPr>
        </a:p>
      </dsp:txBody>
      <dsp:txXfrm rot="10800000">
        <a:off x="1772423" y="2451891"/>
        <a:ext cx="29435" cy="29435"/>
      </dsp:txXfrm>
    </dsp:sp>
    <dsp:sp modelId="{6FC9739E-EB59-4816-8304-3E8725302E9C}">
      <dsp:nvSpPr>
        <dsp:cNvPr id="0" name=""/>
        <dsp:cNvSpPr/>
      </dsp:nvSpPr>
      <dsp:spPr>
        <a:xfrm>
          <a:off x="76197" y="1593780"/>
          <a:ext cx="1536382" cy="1027842"/>
        </a:xfrm>
        <a:prstGeom prst="ellipse">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Aktiivsena vananemise arengukava</a:t>
          </a:r>
        </a:p>
        <a:p>
          <a:pPr lvl="0" algn="ctr" defTabSz="400050">
            <a:lnSpc>
              <a:spcPct val="90000"/>
            </a:lnSpc>
            <a:spcBef>
              <a:spcPct val="0"/>
            </a:spcBef>
            <a:spcAft>
              <a:spcPct val="35000"/>
            </a:spcAft>
          </a:pPr>
          <a:r>
            <a:rPr lang="et-EE" sz="900" b="1" kern="1200">
              <a:solidFill>
                <a:sysClr val="window" lastClr="FFFFFF"/>
              </a:solidFill>
              <a:latin typeface="Calibri"/>
              <a:ea typeface="+mn-ea"/>
              <a:cs typeface="+mn-cs"/>
            </a:rPr>
            <a:t>- e</a:t>
          </a:r>
          <a:r>
            <a:rPr lang="et-EE" sz="900" b="0" kern="1200">
              <a:solidFill>
                <a:sysClr val="window" lastClr="FFFFFF"/>
              </a:solidFill>
              <a:latin typeface="Calibri"/>
              <a:ea typeface="+mn-ea"/>
              <a:cs typeface="+mn-cs"/>
            </a:rPr>
            <a:t>lukestva õppe võimalused vanemas eas</a:t>
          </a:r>
        </a:p>
      </dsp:txBody>
      <dsp:txXfrm>
        <a:off x="301195" y="1744304"/>
        <a:ext cx="1086386" cy="726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B0C57E-0AB2-4647-844C-4053AFBA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9872</Words>
  <Characters>57259</Characters>
  <Application>Microsoft Office Word</Application>
  <DocSecurity>0</DocSecurity>
  <Lines>477</Lines>
  <Paragraphs>133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Eesti elukestva õppe strateegia 2020</vt:lpstr>
      <vt:lpstr>Eesti elukestva õppe strateegia 2020</vt:lpstr>
      <vt:lpstr>Eesti elukestva õppe strateegia 2020</vt:lpstr>
    </vt:vector>
  </TitlesOfParts>
  <Company>Microsoft</Company>
  <LinksUpToDate>false</LinksUpToDate>
  <CharactersWithSpaces>66998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elukestva õppe strateegia 2020</dc:title>
  <dc:subject>Projekt 24.01.2014</dc:subject>
  <dc:creator>Heli Aru</dc:creator>
  <cp:lastModifiedBy>lelo</cp:lastModifiedBy>
  <cp:revision>2</cp:revision>
  <cp:lastPrinted>2014-01-28T06:47:00Z</cp:lastPrinted>
  <dcterms:created xsi:type="dcterms:W3CDTF">2014-02-13T12:35:00Z</dcterms:created>
  <dcterms:modified xsi:type="dcterms:W3CDTF">2014-02-13T12:35:00Z</dcterms:modified>
</cp:coreProperties>
</file>